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22408992"/>
        <w:docPartObj>
          <w:docPartGallery w:val="Cover Pages"/>
          <w:docPartUnique/>
        </w:docPartObj>
      </w:sdtPr>
      <w:sdtEndPr/>
      <w:sdtContent>
        <w:tbl>
          <w:tblPr>
            <w:tblW w:w="4853" w:type="pct"/>
            <w:tblInd w:w="115" w:type="dxa"/>
            <w:tblBorders>
              <w:top w:val="single" w:sz="48" w:space="0" w:color="FFFFFF" w:themeColor="light1"/>
              <w:left w:val="single" w:sz="48" w:space="0" w:color="FFFFFF" w:themeColor="light1"/>
              <w:bottom w:val="single" w:sz="48" w:space="0" w:color="FFFFFF" w:themeColor="light1"/>
              <w:right w:val="single" w:sz="48" w:space="0" w:color="FFFFFF" w:themeColor="light1"/>
              <w:insideH w:val="single" w:sz="48" w:space="0" w:color="FFFFFF" w:themeColor="light1"/>
              <w:insideV w:val="single" w:sz="48" w:space="0" w:color="FFFFFF" w:themeColor="light1"/>
            </w:tblBorders>
            <w:tblCellMar>
              <w:left w:w="115" w:type="dxa"/>
              <w:right w:w="115" w:type="dxa"/>
            </w:tblCellMar>
            <w:tblLook w:val="01E0" w:firstRow="1" w:lastRow="1" w:firstColumn="1" w:lastColumn="1" w:noHBand="0" w:noVBand="0"/>
          </w:tblPr>
          <w:tblGrid>
            <w:gridCol w:w="2154"/>
            <w:gridCol w:w="7853"/>
          </w:tblGrid>
          <w:tr w:rsidR="00043154" w14:paraId="6FEF8CBD" w14:textId="77777777" w:rsidTr="00043154">
            <w:trPr>
              <w:trHeight w:val="1971"/>
            </w:trPr>
            <w:tc>
              <w:tcPr>
                <w:tcW w:w="1076" w:type="pct"/>
                <w:tcBorders>
                  <w:top w:val="nil"/>
                  <w:left w:val="nil"/>
                  <w:bottom w:val="nil"/>
                  <w:right w:val="nil"/>
                </w:tcBorders>
                <w:shd w:val="clear" w:color="auto" w:fill="auto"/>
              </w:tcPr>
              <w:p w14:paraId="23AFF0E5" w14:textId="77777777" w:rsidR="00B10BA9" w:rsidRDefault="00B10BA9">
                <w:pPr>
                  <w:pStyle w:val="NoSpacing"/>
                </w:pPr>
              </w:p>
            </w:tc>
            <w:tc>
              <w:tcPr>
                <w:tcW w:w="3924" w:type="pct"/>
                <w:tcBorders>
                  <w:top w:val="nil"/>
                  <w:left w:val="nil"/>
                  <w:bottom w:val="nil"/>
                  <w:right w:val="nil"/>
                </w:tcBorders>
                <w:shd w:val="clear" w:color="auto" w:fill="auto"/>
                <w:tcMar>
                  <w:left w:w="115" w:type="dxa"/>
                  <w:bottom w:w="115" w:type="dxa"/>
                </w:tcMar>
                <w:vAlign w:val="bottom"/>
              </w:tcPr>
              <w:p w14:paraId="2FB939EA" w14:textId="395CB3CF" w:rsidR="00B10BA9" w:rsidRPr="00043154" w:rsidRDefault="002B4FCC" w:rsidP="004A2609">
                <w:pPr>
                  <w:pStyle w:val="NoSpacing"/>
                  <w:ind w:left="-29" w:right="-368"/>
                  <w:rPr>
                    <w:rFonts w:asciiTheme="majorHAnsi" w:eastAsiaTheme="majorEastAsia" w:hAnsiTheme="majorHAnsi" w:cstheme="majorBidi"/>
                    <w:color w:val="775F55" w:themeColor="text2"/>
                    <w:sz w:val="86"/>
                    <w:szCs w:val="86"/>
                  </w:rPr>
                </w:pPr>
                <w:sdt>
                  <w:sdtPr>
                    <w:rPr>
                      <w:rFonts w:asciiTheme="majorHAnsi" w:eastAsiaTheme="majorEastAsia" w:hAnsiTheme="majorHAnsi" w:cstheme="majorBidi"/>
                      <w:caps/>
                      <w:color w:val="775F55" w:themeColor="text2"/>
                      <w:sz w:val="86"/>
                      <w:szCs w:val="86"/>
                    </w:rPr>
                    <w:alias w:val="Title"/>
                    <w:id w:val="541102321"/>
                    <w:dataBinding w:prefixMappings="xmlns:ns0='http://schemas.openxmlformats.org/package/2006/metadata/core-properties' xmlns:ns1='http://purl.org/dc/elements/1.1/'" w:xpath="/ns0:coreProperties[1]/ns1:title[1]" w:storeItemID="{6C3C8BC8-F283-45AE-878A-BAB7291924A1}"/>
                    <w:text/>
                  </w:sdtPr>
                  <w:sdtEndPr/>
                  <w:sdtContent>
                    <w:r w:rsidR="004A2609">
                      <w:rPr>
                        <w:rFonts w:asciiTheme="majorHAnsi" w:eastAsiaTheme="majorEastAsia" w:hAnsiTheme="majorHAnsi" w:cstheme="majorBidi"/>
                        <w:caps/>
                        <w:color w:val="775F55" w:themeColor="text2"/>
                        <w:sz w:val="86"/>
                        <w:szCs w:val="86"/>
                      </w:rPr>
                      <w:t>Social Host Ordinance</w:t>
                    </w:r>
                    <w:r>
                      <w:rPr>
                        <w:rFonts w:asciiTheme="majorHAnsi" w:eastAsiaTheme="majorEastAsia" w:hAnsiTheme="majorHAnsi" w:cstheme="majorBidi"/>
                        <w:caps/>
                        <w:color w:val="775F55" w:themeColor="text2"/>
                        <w:sz w:val="86"/>
                        <w:szCs w:val="86"/>
                      </w:rPr>
                      <w:t>s</w:t>
                    </w:r>
                  </w:sdtContent>
                </w:sdt>
              </w:p>
            </w:tc>
          </w:tr>
          <w:tr w:rsidR="00043154" w14:paraId="5D96DF01" w14:textId="77777777" w:rsidTr="00043154">
            <w:trPr>
              <w:trHeight w:val="3509"/>
            </w:trPr>
            <w:tc>
              <w:tcPr>
                <w:tcW w:w="1076" w:type="pct"/>
                <w:tcBorders>
                  <w:top w:val="nil"/>
                  <w:left w:val="nil"/>
                  <w:bottom w:val="nil"/>
                  <w:right w:val="nil"/>
                </w:tcBorders>
                <w:shd w:val="clear" w:color="auto" w:fill="auto"/>
              </w:tcPr>
              <w:p w14:paraId="53F71A7B" w14:textId="77777777" w:rsidR="00B10BA9" w:rsidRDefault="00B10BA9">
                <w:pPr>
                  <w:pStyle w:val="NoSpacing"/>
                  <w:rPr>
                    <w:color w:val="EBDDC3" w:themeColor="background2"/>
                  </w:rPr>
                </w:pPr>
              </w:p>
            </w:tc>
            <w:tc>
              <w:tcPr>
                <w:tcW w:w="3924" w:type="pct"/>
                <w:tcBorders>
                  <w:top w:val="nil"/>
                  <w:left w:val="nil"/>
                  <w:bottom w:val="nil"/>
                  <w:right w:val="nil"/>
                </w:tcBorders>
                <w:shd w:val="clear" w:color="auto" w:fill="auto"/>
                <w:tcMar>
                  <w:left w:w="72" w:type="dxa"/>
                  <w:bottom w:w="216" w:type="dxa"/>
                  <w:right w:w="0" w:type="dxa"/>
                </w:tcMar>
                <w:vAlign w:val="bottom"/>
              </w:tcPr>
              <w:p w14:paraId="49BFC935" w14:textId="77777777" w:rsidR="00B10BA9" w:rsidRDefault="00A672F4">
                <w:r>
                  <w:rPr>
                    <w:noProof/>
                    <w:lang w:eastAsia="en-US"/>
                  </w:rPr>
                  <w:drawing>
                    <wp:inline distT="0" distB="0" distL="0" distR="0" wp14:anchorId="739C296E" wp14:editId="05602BB0">
                      <wp:extent cx="4935855" cy="381762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936463" cy="3818090"/>
                              </a:xfrm>
                              <a:prstGeom prst="rect">
                                <a:avLst/>
                              </a:prstGeom>
                            </pic:spPr>
                          </pic:pic>
                        </a:graphicData>
                      </a:graphic>
                    </wp:inline>
                  </w:drawing>
                </w:r>
              </w:p>
            </w:tc>
          </w:tr>
          <w:tr w:rsidR="00043154" w14:paraId="30CC646C" w14:textId="77777777" w:rsidTr="00043154">
            <w:trPr>
              <w:trHeight w:val="1110"/>
            </w:trPr>
            <w:tc>
              <w:tcPr>
                <w:tcW w:w="1076" w:type="pct"/>
                <w:tcBorders>
                  <w:top w:val="nil"/>
                  <w:left w:val="nil"/>
                  <w:bottom w:val="nil"/>
                </w:tcBorders>
                <w:shd w:val="clear" w:color="auto" w:fill="DD8047" w:themeFill="accent2"/>
                <w:vAlign w:val="center"/>
              </w:tcPr>
              <w:p w14:paraId="7FF600A7" w14:textId="35A433C8" w:rsidR="00B10BA9" w:rsidRDefault="002B4FCC" w:rsidP="00043154">
                <w:pPr>
                  <w:pStyle w:val="NoSpacing"/>
                  <w:jc w:val="center"/>
                  <w:rPr>
                    <w:color w:val="FFFFFF" w:themeColor="background1"/>
                    <w:sz w:val="32"/>
                    <w:szCs w:val="32"/>
                  </w:rPr>
                </w:pPr>
                <w:sdt>
                  <w:sdtPr>
                    <w:rPr>
                      <w:color w:val="FFFFFF" w:themeColor="background1"/>
                      <w:sz w:val="32"/>
                      <w:szCs w:val="32"/>
                    </w:rPr>
                    <w:alias w:val="Date"/>
                    <w:id w:val="541102334"/>
                    <w:dataBinding w:prefixMappings="xmlns:ns0='http://schemas.microsoft.com/office/2006/coverPageProps'" w:xpath="/ns0:CoverPageProperties[1]/ns0:PublishDate[1]" w:storeItemID="{55AF091B-3C7A-41E3-B477-F2FDAA23CFDA}"/>
                    <w:date w:fullDate="2015-05-30T00:00:00Z">
                      <w:dateFormat w:val="M/d/yy"/>
                      <w:lid w:val="en-US"/>
                      <w:storeMappedDataAs w:val="dateTime"/>
                      <w:calendar w:val="gregorian"/>
                    </w:date>
                  </w:sdtPr>
                  <w:sdtEndPr/>
                  <w:sdtContent>
                    <w:r w:rsidR="004A2609">
                      <w:rPr>
                        <w:color w:val="FFFFFF" w:themeColor="background1"/>
                        <w:sz w:val="32"/>
                        <w:szCs w:val="32"/>
                      </w:rPr>
                      <w:t>5/30</w:t>
                    </w:r>
                    <w:r w:rsidR="00043154">
                      <w:rPr>
                        <w:color w:val="FFFFFF" w:themeColor="background1"/>
                        <w:sz w:val="32"/>
                        <w:szCs w:val="32"/>
                      </w:rPr>
                      <w:t>/15</w:t>
                    </w:r>
                  </w:sdtContent>
                </w:sdt>
              </w:p>
            </w:tc>
            <w:tc>
              <w:tcPr>
                <w:tcW w:w="3924" w:type="pct"/>
                <w:tcBorders>
                  <w:top w:val="nil"/>
                  <w:bottom w:val="nil"/>
                  <w:right w:val="nil"/>
                </w:tcBorders>
                <w:shd w:val="clear" w:color="auto" w:fill="94B6D2" w:themeFill="accent1"/>
                <w:tcMar>
                  <w:left w:w="216" w:type="dxa"/>
                </w:tcMar>
                <w:vAlign w:val="center"/>
              </w:tcPr>
              <w:p w14:paraId="1B83F7F6" w14:textId="46F5AD95" w:rsidR="00B10BA9" w:rsidRDefault="002B4FCC" w:rsidP="004A2609">
                <w:pPr>
                  <w:pStyle w:val="NoSpacing"/>
                  <w:rPr>
                    <w:color w:val="FFFFFF" w:themeColor="background1"/>
                    <w:sz w:val="40"/>
                    <w:szCs w:val="40"/>
                  </w:rPr>
                </w:pPr>
                <w:sdt>
                  <w:sdtPr>
                    <w:rPr>
                      <w:color w:val="FFFFFF" w:themeColor="background1"/>
                      <w:sz w:val="40"/>
                      <w:szCs w:val="40"/>
                    </w:rPr>
                    <w:alias w:val="Subtitle"/>
                    <w:id w:val="541102329"/>
                    <w:dataBinding w:prefixMappings="xmlns:ns0='http://schemas.openxmlformats.org/package/2006/metadata/core-properties' xmlns:ns1='http://purl.org/dc/elements/1.1/'" w:xpath="/ns0:coreProperties[1]/ns1:subject[1]" w:storeItemID="{6C3C8BC8-F283-45AE-878A-BAB7291924A1}"/>
                    <w:text/>
                  </w:sdtPr>
                  <w:sdtEndPr/>
                  <w:sdtContent>
                    <w:r w:rsidR="004A2609">
                      <w:rPr>
                        <w:color w:val="FFFFFF" w:themeColor="background1"/>
                        <w:sz w:val="40"/>
                        <w:szCs w:val="40"/>
                      </w:rPr>
                      <w:t>A Literature Review</w:t>
                    </w:r>
                  </w:sdtContent>
                </w:sdt>
              </w:p>
            </w:tc>
          </w:tr>
          <w:tr w:rsidR="00043154" w14:paraId="27342301" w14:textId="77777777" w:rsidTr="00043154">
            <w:trPr>
              <w:trHeight w:val="1444"/>
            </w:trPr>
            <w:tc>
              <w:tcPr>
                <w:tcW w:w="1076" w:type="pct"/>
                <w:tcBorders>
                  <w:top w:val="nil"/>
                  <w:left w:val="nil"/>
                  <w:bottom w:val="nil"/>
                  <w:right w:val="nil"/>
                </w:tcBorders>
                <w:shd w:val="clear" w:color="auto" w:fill="auto"/>
                <w:vAlign w:val="center"/>
              </w:tcPr>
              <w:p w14:paraId="2C3544B9" w14:textId="77777777" w:rsidR="00B10BA9" w:rsidRDefault="00B10BA9">
                <w:pPr>
                  <w:pStyle w:val="NoSpacing"/>
                  <w:rPr>
                    <w:color w:val="FFFFFF" w:themeColor="background1"/>
                    <w:sz w:val="36"/>
                    <w:szCs w:val="36"/>
                  </w:rPr>
                </w:pPr>
              </w:p>
            </w:tc>
            <w:tc>
              <w:tcPr>
                <w:tcW w:w="3924" w:type="pct"/>
                <w:tcBorders>
                  <w:top w:val="nil"/>
                  <w:left w:val="nil"/>
                  <w:bottom w:val="nil"/>
                  <w:right w:val="nil"/>
                </w:tcBorders>
                <w:shd w:val="clear" w:color="auto" w:fill="auto"/>
                <w:tcMar>
                  <w:top w:w="432" w:type="dxa"/>
                  <w:left w:w="216" w:type="dxa"/>
                  <w:right w:w="432" w:type="dxa"/>
                </w:tcMar>
              </w:tcPr>
              <w:p w14:paraId="129A3D9C" w14:textId="77777777" w:rsidR="00043154" w:rsidRDefault="00043154">
                <w:pPr>
                  <w:pStyle w:val="NoSpacing"/>
                  <w:spacing w:line="360" w:lineRule="auto"/>
                  <w:rPr>
                    <w:rFonts w:asciiTheme="majorHAnsi" w:eastAsiaTheme="majorEastAsia" w:hAnsiTheme="majorHAnsi" w:cstheme="majorBidi"/>
                    <w:sz w:val="32"/>
                    <w:szCs w:val="26"/>
                  </w:rPr>
                </w:pPr>
                <w:r w:rsidRPr="00043154">
                  <w:rPr>
                    <w:rFonts w:asciiTheme="majorHAnsi" w:eastAsiaTheme="majorEastAsia" w:hAnsiTheme="majorHAnsi" w:cstheme="majorBidi"/>
                    <w:sz w:val="32"/>
                    <w:szCs w:val="26"/>
                  </w:rPr>
                  <w:t>Prepared by Benjamin Gle</w:t>
                </w:r>
                <w:r>
                  <w:rPr>
                    <w:rFonts w:asciiTheme="majorHAnsi" w:eastAsiaTheme="majorEastAsia" w:hAnsiTheme="majorHAnsi" w:cstheme="majorBidi"/>
                    <w:sz w:val="32"/>
                    <w:szCs w:val="26"/>
                  </w:rPr>
                  <w:t>ason</w:t>
                </w:r>
              </w:p>
              <w:p w14:paraId="423A3954" w14:textId="77777777" w:rsidR="00B10BA9" w:rsidRPr="00043154" w:rsidRDefault="00043154">
                <w:pPr>
                  <w:pStyle w:val="NoSpacing"/>
                  <w:spacing w:line="360" w:lineRule="auto"/>
                  <w:rPr>
                    <w:rFonts w:asciiTheme="majorHAnsi" w:eastAsiaTheme="majorEastAsia" w:hAnsiTheme="majorHAnsi" w:cstheme="majorBidi"/>
                    <w:sz w:val="32"/>
                    <w:szCs w:val="26"/>
                  </w:rPr>
                </w:pPr>
                <w:r w:rsidRPr="00043154">
                  <w:rPr>
                    <w:rFonts w:asciiTheme="majorHAnsi" w:eastAsiaTheme="majorEastAsia" w:hAnsiTheme="majorHAnsi" w:cstheme="majorBidi"/>
                    <w:sz w:val="32"/>
                    <w:szCs w:val="26"/>
                  </w:rPr>
                  <w:t xml:space="preserve">Director of </w:t>
                </w:r>
                <w:r w:rsidR="007F6B96">
                  <w:rPr>
                    <w:rFonts w:asciiTheme="majorHAnsi" w:eastAsiaTheme="majorEastAsia" w:hAnsiTheme="majorHAnsi" w:cstheme="majorBidi"/>
                    <w:sz w:val="32"/>
                    <w:szCs w:val="26"/>
                  </w:rPr>
                  <w:t xml:space="preserve">Applied </w:t>
                </w:r>
                <w:r w:rsidRPr="00043154">
                  <w:rPr>
                    <w:rFonts w:asciiTheme="majorHAnsi" w:eastAsiaTheme="majorEastAsia" w:hAnsiTheme="majorHAnsi" w:cstheme="majorBidi"/>
                    <w:sz w:val="32"/>
                    <w:szCs w:val="26"/>
                  </w:rPr>
                  <w:t>Research</w:t>
                </w:r>
              </w:p>
              <w:p w14:paraId="4EB61312" w14:textId="77777777" w:rsidR="00043154" w:rsidRPr="00043154" w:rsidRDefault="00043154">
                <w:pPr>
                  <w:pStyle w:val="NoSpacing"/>
                  <w:spacing w:line="360" w:lineRule="auto"/>
                  <w:rPr>
                    <w:rFonts w:asciiTheme="majorHAnsi" w:eastAsiaTheme="majorEastAsia" w:hAnsiTheme="majorHAnsi" w:cstheme="majorBidi"/>
                    <w:sz w:val="32"/>
                    <w:szCs w:val="26"/>
                  </w:rPr>
                </w:pPr>
                <w:r w:rsidRPr="00043154">
                  <w:rPr>
                    <w:rFonts w:asciiTheme="majorHAnsi" w:eastAsiaTheme="majorEastAsia" w:hAnsiTheme="majorHAnsi" w:cstheme="majorBidi"/>
                    <w:sz w:val="32"/>
                    <w:szCs w:val="26"/>
                  </w:rPr>
                  <w:t>Prospectus Group</w:t>
                </w:r>
              </w:p>
              <w:p w14:paraId="3A068549" w14:textId="77777777" w:rsidR="00B10BA9" w:rsidRDefault="00B10BA9">
                <w:pPr>
                  <w:pStyle w:val="NoSpacing"/>
                  <w:rPr>
                    <w:rFonts w:asciiTheme="majorHAnsi" w:eastAsiaTheme="majorEastAsia" w:hAnsiTheme="majorHAnsi" w:cstheme="majorBidi"/>
                    <w:i/>
                    <w:iCs/>
                    <w:color w:val="775F55" w:themeColor="text2"/>
                    <w:sz w:val="26"/>
                    <w:szCs w:val="26"/>
                  </w:rPr>
                </w:pPr>
              </w:p>
            </w:tc>
          </w:tr>
        </w:tbl>
        <w:p w14:paraId="162F9CE8" w14:textId="77777777" w:rsidR="00B10BA9" w:rsidRDefault="00043154" w:rsidP="00043154">
          <w:pPr>
            <w:spacing w:after="200" w:line="276" w:lineRule="auto"/>
            <w:jc w:val="center"/>
          </w:pPr>
          <w:r>
            <w:rPr>
              <w:rFonts w:ascii="Times New Roman" w:hAnsi="Times New Roman"/>
              <w:b/>
              <w:bCs/>
              <w:noProof/>
              <w:color w:val="000000"/>
              <w:lang w:eastAsia="en-US"/>
            </w:rPr>
            <w:drawing>
              <wp:inline distT="0" distB="0" distL="0" distR="0" wp14:anchorId="7C0C9A43" wp14:editId="0A86E4F1">
                <wp:extent cx="3006006" cy="81874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_Logo_large_color.png"/>
                        <pic:cNvPicPr/>
                      </pic:nvPicPr>
                      <pic:blipFill>
                        <a:blip r:embed="rId15">
                          <a:extLst>
                            <a:ext uri="{28A0092B-C50C-407E-A947-70E740481C1C}">
                              <a14:useLocalDpi xmlns:a14="http://schemas.microsoft.com/office/drawing/2010/main" val="0"/>
                            </a:ext>
                          </a:extLst>
                        </a:blip>
                        <a:stretch>
                          <a:fillRect/>
                        </a:stretch>
                      </pic:blipFill>
                      <pic:spPr>
                        <a:xfrm>
                          <a:off x="0" y="0"/>
                          <a:ext cx="3006722" cy="818936"/>
                        </a:xfrm>
                        <a:prstGeom prst="rect">
                          <a:avLst/>
                        </a:prstGeom>
                      </pic:spPr>
                    </pic:pic>
                  </a:graphicData>
                </a:graphic>
              </wp:inline>
            </w:drawing>
          </w:r>
          <w:r>
            <w:rPr>
              <w:rFonts w:ascii="Times New Roman" w:hAnsi="Times New Roman"/>
              <w:b/>
              <w:bCs/>
              <w:noProof/>
              <w:color w:val="000000"/>
              <w:lang w:eastAsia="en-US"/>
            </w:rPr>
            <w:drawing>
              <wp:inline distT="0" distB="0" distL="0" distR="0" wp14:anchorId="7409BAE7" wp14:editId="34542974">
                <wp:extent cx="3240698" cy="755075"/>
                <wp:effectExtent l="0" t="0" r="1079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spectus_logo_1.png"/>
                        <pic:cNvPicPr/>
                      </pic:nvPicPr>
                      <pic:blipFill>
                        <a:blip r:embed="rId16">
                          <a:extLst>
                            <a:ext uri="{28A0092B-C50C-407E-A947-70E740481C1C}">
                              <a14:useLocalDpi xmlns:a14="http://schemas.microsoft.com/office/drawing/2010/main" val="0"/>
                            </a:ext>
                          </a:extLst>
                        </a:blip>
                        <a:stretch>
                          <a:fillRect/>
                        </a:stretch>
                      </pic:blipFill>
                      <pic:spPr>
                        <a:xfrm>
                          <a:off x="0" y="0"/>
                          <a:ext cx="3242689" cy="755539"/>
                        </a:xfrm>
                        <a:prstGeom prst="rect">
                          <a:avLst/>
                        </a:prstGeom>
                      </pic:spPr>
                    </pic:pic>
                  </a:graphicData>
                </a:graphic>
              </wp:inline>
            </w:drawing>
          </w:r>
          <w:r w:rsidR="00A672F4">
            <w:br w:type="page"/>
          </w:r>
        </w:p>
      </w:sdtContent>
    </w:sdt>
    <w:p w14:paraId="3BA324F5" w14:textId="00956703" w:rsidR="00B10BA9" w:rsidRDefault="002B4FCC">
      <w:pPr>
        <w:pStyle w:val="Title"/>
      </w:pPr>
      <w:sdt>
        <w:sdtPr>
          <w:alias w:val="Title"/>
          <w:id w:val="-1055697181"/>
          <w:dataBinding w:prefixMappings="xmlns:ns0='http://schemas.openxmlformats.org/package/2006/metadata/core-properties' xmlns:ns1='http://purl.org/dc/elements/1.1/'" w:xpath="/ns0:coreProperties[1]/ns1:title[1]" w:storeItemID="{6C3C8BC8-F283-45AE-878A-BAB7291924A1}"/>
          <w:text/>
        </w:sdtPr>
        <w:sdtEndPr/>
        <w:sdtContent>
          <w:r>
            <w:t>Social Host Ordinances</w:t>
          </w:r>
        </w:sdtContent>
      </w:sdt>
    </w:p>
    <w:p w14:paraId="7CCD9913" w14:textId="77777777" w:rsidR="00B10BA9" w:rsidRDefault="00B10BA9">
      <w:pPr>
        <w:pStyle w:val="Title"/>
        <w:rPr>
          <w:rFonts w:asciiTheme="majorHAnsi" w:eastAsiaTheme="majorEastAsia" w:hAnsiTheme="majorHAnsi" w:cstheme="majorBidi"/>
          <w:b/>
          <w:bCs/>
          <w:caps/>
          <w:color w:val="DD8047" w:themeColor="accent2"/>
          <w:spacing w:val="50"/>
          <w:sz w:val="24"/>
          <w:szCs w:val="22"/>
        </w:rPr>
      </w:pPr>
    </w:p>
    <w:sdt>
      <w:sdtPr>
        <w:id w:val="219697527"/>
        <w:dataBinding w:prefixMappings="xmlns:ns0='http://schemas.openxmlformats.org/package/2006/metadata/core-properties' xmlns:ns1='http://purl.org/dc/elements/1.1/'" w:xpath="/ns0:coreProperties[1]/ns1:subject[1]" w:storeItemID="{6C3C8BC8-F283-45AE-878A-BAB7291924A1}"/>
        <w:text/>
      </w:sdtPr>
      <w:sdtEndPr/>
      <w:sdtContent>
        <w:p w14:paraId="76767871" w14:textId="594DF4E3" w:rsidR="00A672F4" w:rsidRPr="005F7192" w:rsidRDefault="004A2609" w:rsidP="005F7192">
          <w:pPr>
            <w:pStyle w:val="Subtitle"/>
          </w:pPr>
          <w:r>
            <w:t>A Literature Review</w:t>
          </w:r>
        </w:p>
      </w:sdtContent>
    </w:sdt>
    <w:p w14:paraId="39F781B6" w14:textId="77777777" w:rsidR="00A672F4" w:rsidRPr="00A672F4" w:rsidRDefault="00A672F4" w:rsidP="00827CC0">
      <w:pPr>
        <w:pStyle w:val="Heading2"/>
        <w:spacing w:line="276" w:lineRule="auto"/>
        <w:contextualSpacing/>
        <w:rPr>
          <w:sz w:val="32"/>
        </w:rPr>
      </w:pPr>
      <w:r w:rsidRPr="00A672F4">
        <w:rPr>
          <w:sz w:val="32"/>
        </w:rPr>
        <w:t>Overview</w:t>
      </w:r>
    </w:p>
    <w:p w14:paraId="547703DF" w14:textId="127BB406" w:rsidR="00E27A7E" w:rsidRDefault="00E27A7E" w:rsidP="00827CC0">
      <w:pPr>
        <w:spacing w:line="276" w:lineRule="auto"/>
        <w:contextualSpacing/>
        <w:rPr>
          <w:rFonts w:ascii="Arial" w:hAnsi="Arial" w:cs="Arial"/>
          <w:szCs w:val="23"/>
        </w:rPr>
      </w:pPr>
      <w:r w:rsidRPr="00827CC0">
        <w:rPr>
          <w:rFonts w:ascii="Arial" w:hAnsi="Arial" w:cs="Arial"/>
          <w:color w:val="000000"/>
          <w:szCs w:val="23"/>
        </w:rPr>
        <w:t xml:space="preserve">This literature review explores the relationship between instituting a </w:t>
      </w:r>
      <w:r w:rsidRPr="00827CC0">
        <w:rPr>
          <w:rFonts w:ascii="Arial" w:hAnsi="Arial" w:cs="Arial"/>
          <w:b/>
          <w:color w:val="000000"/>
          <w:szCs w:val="23"/>
        </w:rPr>
        <w:t>Social Hosting</w:t>
      </w:r>
      <w:r w:rsidRPr="00827CC0">
        <w:rPr>
          <w:rFonts w:ascii="Arial" w:hAnsi="Arial" w:cs="Arial"/>
          <w:color w:val="000000"/>
          <w:szCs w:val="23"/>
        </w:rPr>
        <w:t xml:space="preserve"> </w:t>
      </w:r>
      <w:r w:rsidRPr="00827CC0">
        <w:rPr>
          <w:rFonts w:ascii="Arial" w:hAnsi="Arial" w:cs="Arial"/>
          <w:b/>
          <w:color w:val="000000"/>
          <w:szCs w:val="23"/>
        </w:rPr>
        <w:t>Ordinance</w:t>
      </w:r>
      <w:r w:rsidRPr="00827CC0">
        <w:rPr>
          <w:rFonts w:ascii="Arial" w:hAnsi="Arial" w:cs="Arial"/>
          <w:color w:val="000000"/>
          <w:szCs w:val="23"/>
        </w:rPr>
        <w:t xml:space="preserve"> (SHO) and the effect on underage drinking for small towns and communities in Georgia as a result of the policy. In general, a literature review is a report on the “state of the field” that goes beyond mere information-gathering to analyze relevant research, introduce contemporary findings, synthesize themes, point out gaps in research, and issue recommendations for practice and future research. From this perspective, a literature review on the effects of instituting a social host policy in small towns and cities will review research on these effects in contexts comparable to Georgia (i.e., appropriate for Georgia substance abuse prevention providers). This literature review will offer tools for providers to become knowledgeable in foundational, as well as current, research on the relationship between a social host policy and </w:t>
      </w:r>
      <w:r w:rsidR="0067323C">
        <w:rPr>
          <w:rFonts w:ascii="Arial" w:hAnsi="Arial" w:cs="Arial"/>
          <w:color w:val="000000"/>
          <w:szCs w:val="23"/>
        </w:rPr>
        <w:t>its effects on</w:t>
      </w:r>
      <w:r w:rsidRPr="00827CC0">
        <w:rPr>
          <w:rFonts w:ascii="Arial" w:hAnsi="Arial" w:cs="Arial"/>
          <w:color w:val="000000"/>
          <w:szCs w:val="23"/>
        </w:rPr>
        <w:t xml:space="preserve"> underage drinking in Georgia, with the purpose that they will use this knowledge to support the public health goals of Georgia communities.</w:t>
      </w:r>
    </w:p>
    <w:p w14:paraId="6772D8FB" w14:textId="77777777" w:rsidR="00827CC0" w:rsidRDefault="00827CC0" w:rsidP="00827CC0">
      <w:pPr>
        <w:spacing w:line="276" w:lineRule="auto"/>
        <w:contextualSpacing/>
        <w:rPr>
          <w:rFonts w:ascii="Arial" w:hAnsi="Arial" w:cs="Arial"/>
          <w:szCs w:val="23"/>
        </w:rPr>
      </w:pPr>
    </w:p>
    <w:p w14:paraId="7467675F" w14:textId="77777777" w:rsidR="00827CC0" w:rsidRPr="00827CC0" w:rsidRDefault="00827CC0" w:rsidP="00827CC0">
      <w:pPr>
        <w:spacing w:line="276" w:lineRule="auto"/>
        <w:contextualSpacing/>
        <w:rPr>
          <w:rFonts w:ascii="Arial" w:hAnsi="Arial" w:cs="Arial"/>
          <w:szCs w:val="23"/>
        </w:rPr>
      </w:pPr>
    </w:p>
    <w:p w14:paraId="7432F8BB" w14:textId="77777777" w:rsidR="00E27A7E" w:rsidRPr="00E27A7E" w:rsidRDefault="00E27A7E" w:rsidP="00827CC0">
      <w:pPr>
        <w:spacing w:line="276" w:lineRule="auto"/>
        <w:contextualSpacing/>
        <w:rPr>
          <w:color w:val="94B6D2" w:themeColor="accent1"/>
          <w:sz w:val="32"/>
          <w:szCs w:val="32"/>
        </w:rPr>
      </w:pPr>
      <w:r w:rsidRPr="00E27A7E">
        <w:rPr>
          <w:b/>
          <w:bCs/>
          <w:color w:val="94B6D2" w:themeColor="accent1"/>
          <w:sz w:val="32"/>
          <w:szCs w:val="32"/>
        </w:rPr>
        <w:t>An Introduction to Underage Drinking</w:t>
      </w:r>
    </w:p>
    <w:p w14:paraId="7A0E92D6" w14:textId="6B1E2A1C" w:rsidR="00E27A7E" w:rsidRPr="00827CC0" w:rsidRDefault="00E27A7E" w:rsidP="00827CC0">
      <w:pPr>
        <w:spacing w:line="276" w:lineRule="auto"/>
        <w:contextualSpacing/>
        <w:rPr>
          <w:rFonts w:ascii="Arial" w:hAnsi="Arial" w:cs="Arial"/>
          <w:color w:val="000000"/>
          <w:szCs w:val="23"/>
        </w:rPr>
      </w:pPr>
      <w:r w:rsidRPr="00827CC0">
        <w:rPr>
          <w:rFonts w:ascii="Arial" w:hAnsi="Arial" w:cs="Arial"/>
          <w:color w:val="000000"/>
          <w:szCs w:val="23"/>
        </w:rPr>
        <w:t xml:space="preserve">Underage drinking is a widespread problem in the United States, with underage drinkers consuming around 20 percent of all alcoholic beverages, </w:t>
      </w:r>
      <w:r w:rsidR="00CE12C0">
        <w:rPr>
          <w:rFonts w:ascii="Arial" w:hAnsi="Arial" w:cs="Arial"/>
          <w:color w:val="000000"/>
          <w:szCs w:val="23"/>
        </w:rPr>
        <w:t>and spending roughly $23 billion</w:t>
      </w:r>
      <w:r w:rsidRPr="00827CC0">
        <w:rPr>
          <w:rFonts w:ascii="Arial" w:hAnsi="Arial" w:cs="Arial"/>
          <w:color w:val="000000"/>
          <w:szCs w:val="23"/>
        </w:rPr>
        <w:t xml:space="preserve"> of </w:t>
      </w:r>
      <w:r w:rsidR="00CE12C0">
        <w:rPr>
          <w:rFonts w:ascii="Arial" w:hAnsi="Arial" w:cs="Arial"/>
          <w:color w:val="000000"/>
          <w:szCs w:val="23"/>
        </w:rPr>
        <w:t xml:space="preserve">the </w:t>
      </w:r>
      <w:r w:rsidRPr="00827CC0">
        <w:rPr>
          <w:rFonts w:ascii="Arial" w:hAnsi="Arial" w:cs="Arial"/>
          <w:color w:val="000000"/>
          <w:szCs w:val="23"/>
        </w:rPr>
        <w:t>$116 billion that Americans spend on alcohol (Foster et al, 2003). In addition, underage drinkers routinely engage in “binge drinking,” drinking an average of five drinks six days out of every month. In the state of Georgia, 74 percent of high school students have reported drinking alcohol at least once in their life, while almost 40 percent noted that they cur</w:t>
      </w:r>
      <w:r w:rsidR="000A6BD7">
        <w:rPr>
          <w:rFonts w:ascii="Arial" w:hAnsi="Arial" w:cs="Arial"/>
          <w:color w:val="000000"/>
          <w:szCs w:val="23"/>
        </w:rPr>
        <w:t>rently drink alcohol. Of course</w:t>
      </w:r>
      <w:r w:rsidRPr="00827CC0">
        <w:rPr>
          <w:rFonts w:ascii="Arial" w:hAnsi="Arial" w:cs="Arial"/>
          <w:color w:val="000000"/>
          <w:szCs w:val="23"/>
        </w:rPr>
        <w:t xml:space="preserve"> there are many consequences to underage drinking, including increased likelihood of unintentional injury, being a victim of homicide or suicide, having high-risk sexual activity, engaging in violence, and possible injury to the adolescent brain, which is still developing </w:t>
      </w:r>
      <w:sdt>
        <w:sdtPr>
          <w:rPr>
            <w:rFonts w:ascii="Arial" w:hAnsi="Arial" w:cs="Arial"/>
            <w:color w:val="000000"/>
            <w:szCs w:val="23"/>
          </w:rPr>
          <w:id w:val="763507133"/>
          <w:citation/>
        </w:sdtPr>
        <w:sdtEndPr/>
        <w:sdtContent>
          <w:r w:rsidR="00CE12C0">
            <w:rPr>
              <w:rFonts w:ascii="Arial" w:hAnsi="Arial" w:cs="Arial"/>
              <w:color w:val="000000"/>
              <w:szCs w:val="23"/>
            </w:rPr>
            <w:fldChar w:fldCharType="begin"/>
          </w:r>
          <w:r w:rsidR="00CE12C0">
            <w:rPr>
              <w:rFonts w:ascii="Arial" w:hAnsi="Arial" w:cs="Arial"/>
              <w:color w:val="000000"/>
              <w:szCs w:val="23"/>
            </w:rPr>
            <w:instrText xml:space="preserve"> CITATION Pow09 \l 1033 </w:instrText>
          </w:r>
          <w:r w:rsidR="00CE12C0">
            <w:rPr>
              <w:rFonts w:ascii="Arial" w:hAnsi="Arial" w:cs="Arial"/>
              <w:color w:val="000000"/>
              <w:szCs w:val="23"/>
            </w:rPr>
            <w:fldChar w:fldCharType="separate"/>
          </w:r>
          <w:r w:rsidR="002B4FCC" w:rsidRPr="002B4FCC">
            <w:rPr>
              <w:rFonts w:ascii="Arial" w:hAnsi="Arial" w:cs="Arial"/>
              <w:noProof/>
              <w:color w:val="000000"/>
              <w:szCs w:val="23"/>
            </w:rPr>
            <w:t>(Powell, 2009)</w:t>
          </w:r>
          <w:r w:rsidR="00CE12C0">
            <w:rPr>
              <w:rFonts w:ascii="Arial" w:hAnsi="Arial" w:cs="Arial"/>
              <w:color w:val="000000"/>
              <w:szCs w:val="23"/>
            </w:rPr>
            <w:fldChar w:fldCharType="end"/>
          </w:r>
        </w:sdtContent>
      </w:sdt>
      <w:r w:rsidR="00CE12C0">
        <w:rPr>
          <w:rFonts w:ascii="Arial" w:hAnsi="Arial" w:cs="Arial"/>
          <w:color w:val="000000"/>
          <w:szCs w:val="23"/>
        </w:rPr>
        <w:t xml:space="preserve">.  </w:t>
      </w:r>
      <w:r w:rsidRPr="00827CC0">
        <w:rPr>
          <w:rFonts w:ascii="Arial" w:hAnsi="Arial" w:cs="Arial"/>
          <w:color w:val="000000"/>
          <w:szCs w:val="23"/>
        </w:rPr>
        <w:t xml:space="preserve">In addition, since, underage drinkers routinely obtain alcohol from parents or other social sources, this literature review asks the question: How might a social host policy reduce the negative consequences of underage drinking, such as traffic accidents as a result of underage drinking and driving? This review attempts to provide information about how a social host policy might be a tool to reduce the negative consequences of underage drinking for towns and communities in Georgia. </w:t>
      </w:r>
    </w:p>
    <w:p w14:paraId="62F07D7B" w14:textId="77777777" w:rsidR="008E42EB" w:rsidRPr="0012261C" w:rsidRDefault="008E42EB" w:rsidP="00827CC0">
      <w:pPr>
        <w:spacing w:line="276" w:lineRule="auto"/>
        <w:contextualSpacing/>
        <w:rPr>
          <w:rFonts w:ascii="Candara" w:hAnsi="Candara"/>
          <w:szCs w:val="23"/>
        </w:rPr>
      </w:pPr>
    </w:p>
    <w:p w14:paraId="0FA6A69D" w14:textId="77777777" w:rsidR="00827CC0" w:rsidRDefault="00E27A7E" w:rsidP="00827CC0">
      <w:pPr>
        <w:spacing w:line="276" w:lineRule="auto"/>
        <w:contextualSpacing/>
        <w:rPr>
          <w:b/>
          <w:color w:val="94B6D2" w:themeColor="accent1"/>
          <w:sz w:val="32"/>
          <w:szCs w:val="32"/>
        </w:rPr>
      </w:pPr>
      <w:r w:rsidRPr="00E27A7E">
        <w:rPr>
          <w:b/>
          <w:color w:val="94B6D2" w:themeColor="accent1"/>
          <w:sz w:val="32"/>
          <w:szCs w:val="32"/>
        </w:rPr>
        <w:t>An Introduction to Social Host Ordinances in Georgia</w:t>
      </w:r>
    </w:p>
    <w:p w14:paraId="2CEEF246" w14:textId="77777777" w:rsidR="009D00C9" w:rsidRDefault="00E27A7E" w:rsidP="00827CC0">
      <w:pPr>
        <w:spacing w:line="276" w:lineRule="auto"/>
        <w:contextualSpacing/>
        <w:rPr>
          <w:rFonts w:ascii="Arial" w:hAnsi="Arial" w:cs="Arial"/>
          <w:color w:val="000000"/>
          <w:szCs w:val="23"/>
        </w:rPr>
      </w:pPr>
      <w:r w:rsidRPr="00827CC0">
        <w:rPr>
          <w:rFonts w:ascii="Arial" w:hAnsi="Arial" w:cs="Arial"/>
          <w:color w:val="000000"/>
          <w:szCs w:val="23"/>
        </w:rPr>
        <w:t xml:space="preserve">A </w:t>
      </w:r>
      <w:r w:rsidRPr="00827CC0">
        <w:rPr>
          <w:rFonts w:ascii="Arial" w:hAnsi="Arial" w:cs="Arial"/>
          <w:b/>
          <w:color w:val="000000"/>
          <w:szCs w:val="23"/>
        </w:rPr>
        <w:t xml:space="preserve">Social Host Ordinance </w:t>
      </w:r>
      <w:r w:rsidRPr="00827CC0">
        <w:rPr>
          <w:rFonts w:ascii="Arial" w:hAnsi="Arial" w:cs="Arial"/>
          <w:color w:val="000000"/>
          <w:szCs w:val="23"/>
        </w:rPr>
        <w:t>(SHO)</w:t>
      </w:r>
      <w:r w:rsidRPr="00827CC0">
        <w:rPr>
          <w:rFonts w:ascii="Arial" w:hAnsi="Arial" w:cs="Arial"/>
          <w:b/>
          <w:color w:val="000000"/>
          <w:szCs w:val="23"/>
        </w:rPr>
        <w:t xml:space="preserve"> </w:t>
      </w:r>
      <w:r w:rsidRPr="00827CC0">
        <w:rPr>
          <w:rFonts w:ascii="Arial" w:hAnsi="Arial" w:cs="Arial"/>
          <w:color w:val="000000"/>
          <w:szCs w:val="23"/>
        </w:rPr>
        <w:t xml:space="preserve">or </w:t>
      </w:r>
      <w:r w:rsidRPr="00827CC0">
        <w:rPr>
          <w:rFonts w:ascii="Arial" w:hAnsi="Arial" w:cs="Arial"/>
          <w:b/>
          <w:color w:val="000000"/>
          <w:szCs w:val="23"/>
        </w:rPr>
        <w:t xml:space="preserve">Social Host Law for Minors </w:t>
      </w:r>
      <w:r w:rsidRPr="00827CC0">
        <w:rPr>
          <w:rFonts w:ascii="Arial" w:hAnsi="Arial" w:cs="Arial"/>
          <w:color w:val="000000"/>
          <w:szCs w:val="23"/>
        </w:rPr>
        <w:t>(SHLM)</w:t>
      </w:r>
      <w:r w:rsidRPr="00827CC0">
        <w:rPr>
          <w:rFonts w:ascii="Arial" w:hAnsi="Arial" w:cs="Arial"/>
          <w:b/>
          <w:color w:val="000000"/>
          <w:szCs w:val="23"/>
        </w:rPr>
        <w:t xml:space="preserve"> </w:t>
      </w:r>
      <w:r w:rsidRPr="00827CC0">
        <w:rPr>
          <w:rFonts w:ascii="Arial" w:hAnsi="Arial" w:cs="Arial"/>
          <w:color w:val="000000"/>
          <w:szCs w:val="23"/>
        </w:rPr>
        <w:t>is a law that holds responsible those who provide alcohol to underage drinkers; in addition, a SHO or SHLM can also force property owners, landlords, and even renters to be held accountable for damages or injuries that occur on their property as a result of underage drinking. Alcohol policy researchers (</w:t>
      </w:r>
      <w:proofErr w:type="spellStart"/>
      <w:r w:rsidRPr="00827CC0">
        <w:rPr>
          <w:rFonts w:ascii="Arial" w:hAnsi="Arial" w:cs="Arial"/>
          <w:color w:val="000000"/>
          <w:szCs w:val="23"/>
        </w:rPr>
        <w:t>Hingson</w:t>
      </w:r>
      <w:proofErr w:type="spellEnd"/>
      <w:r w:rsidRPr="00827CC0">
        <w:rPr>
          <w:rFonts w:ascii="Arial" w:hAnsi="Arial" w:cs="Arial"/>
          <w:color w:val="000000"/>
          <w:szCs w:val="23"/>
        </w:rPr>
        <w:t xml:space="preserve"> &amp; White, 2014) reported that social host ordinances are effective at curbing underage drinking at colleges </w:t>
      </w:r>
      <w:r w:rsidRPr="00827CC0">
        <w:rPr>
          <w:rFonts w:ascii="Arial" w:hAnsi="Arial" w:cs="Arial"/>
          <w:i/>
          <w:color w:val="000000"/>
          <w:szCs w:val="23"/>
        </w:rPr>
        <w:t>when combined with other environmental strategies</w:t>
      </w:r>
      <w:r w:rsidRPr="00827CC0">
        <w:rPr>
          <w:rFonts w:ascii="Arial" w:hAnsi="Arial" w:cs="Arial"/>
          <w:color w:val="000000"/>
          <w:szCs w:val="23"/>
        </w:rPr>
        <w:t>, such as party enforcement, DUI checkpoints, and compliance checks.</w:t>
      </w:r>
      <w:r w:rsidR="00CE12C0">
        <w:rPr>
          <w:rFonts w:ascii="Arial" w:hAnsi="Arial" w:cs="Arial"/>
          <w:color w:val="000000"/>
          <w:szCs w:val="23"/>
        </w:rPr>
        <w:t xml:space="preserve"> </w:t>
      </w:r>
    </w:p>
    <w:p w14:paraId="68A8C208" w14:textId="28616552" w:rsidR="0012261C" w:rsidRPr="00827CC0" w:rsidRDefault="009D00C9" w:rsidP="00827CC0">
      <w:pPr>
        <w:spacing w:line="276" w:lineRule="auto"/>
        <w:contextualSpacing/>
        <w:rPr>
          <w:b/>
          <w:color w:val="94B6D2" w:themeColor="accent1"/>
          <w:sz w:val="32"/>
          <w:szCs w:val="32"/>
        </w:rPr>
      </w:pPr>
      <w:r>
        <w:rPr>
          <w:rFonts w:ascii="Arial" w:hAnsi="Arial" w:cs="Arial"/>
          <w:color w:val="000000"/>
          <w:szCs w:val="23"/>
        </w:rPr>
        <w:tab/>
      </w:r>
      <w:r w:rsidR="00CE12C0">
        <w:rPr>
          <w:rFonts w:ascii="Arial" w:hAnsi="Arial" w:cs="Arial"/>
          <w:color w:val="000000"/>
          <w:szCs w:val="23"/>
        </w:rPr>
        <w:t>Georgia was one of the first thirteen states in the United States</w:t>
      </w:r>
      <w:r w:rsidR="00E27A7E" w:rsidRPr="00827CC0">
        <w:rPr>
          <w:rFonts w:ascii="Arial" w:hAnsi="Arial" w:cs="Arial"/>
          <w:color w:val="000000"/>
          <w:szCs w:val="23"/>
        </w:rPr>
        <w:t xml:space="preserve"> to instit</w:t>
      </w:r>
      <w:r w:rsidR="00B03565">
        <w:rPr>
          <w:rFonts w:ascii="Arial" w:hAnsi="Arial" w:cs="Arial"/>
          <w:color w:val="000000"/>
          <w:szCs w:val="23"/>
        </w:rPr>
        <w:t>ute a statewide SHLM law in 198</w:t>
      </w:r>
      <w:r w:rsidR="0078367F">
        <w:rPr>
          <w:rFonts w:ascii="Arial" w:hAnsi="Arial" w:cs="Arial"/>
          <w:color w:val="000000"/>
          <w:szCs w:val="23"/>
        </w:rPr>
        <w:t>5 (Dills, 2010). This law</w:t>
      </w:r>
      <w:r w:rsidR="00B41F7E">
        <w:rPr>
          <w:rFonts w:ascii="Arial" w:hAnsi="Arial" w:cs="Arial"/>
          <w:color w:val="000000"/>
          <w:szCs w:val="23"/>
        </w:rPr>
        <w:t xml:space="preserve"> “imposed civil liability on social hosts for providing alcohol to minors” (</w:t>
      </w:r>
      <w:r w:rsidR="0078367F">
        <w:rPr>
          <w:rFonts w:ascii="Arial" w:hAnsi="Arial" w:cs="Arial"/>
          <w:color w:val="000000"/>
          <w:szCs w:val="23"/>
        </w:rPr>
        <w:t>Dil</w:t>
      </w:r>
      <w:r>
        <w:rPr>
          <w:rFonts w:ascii="Arial" w:hAnsi="Arial" w:cs="Arial"/>
          <w:color w:val="000000"/>
          <w:szCs w:val="23"/>
        </w:rPr>
        <w:t>ls, 2010, p. 242). However, while “civil penalties can include substantial financial liability if injury, death or property damage occur</w:t>
      </w:r>
      <w:r w:rsidR="000A6BD7">
        <w:rPr>
          <w:rFonts w:ascii="Arial" w:hAnsi="Arial" w:cs="Arial"/>
          <w:color w:val="000000"/>
          <w:szCs w:val="23"/>
        </w:rPr>
        <w:t>,</w:t>
      </w:r>
      <w:r>
        <w:rPr>
          <w:rFonts w:ascii="Arial" w:hAnsi="Arial" w:cs="Arial"/>
          <w:color w:val="000000"/>
          <w:szCs w:val="23"/>
        </w:rPr>
        <w:t xml:space="preserve">” current practice within Georgia sets a high bar </w:t>
      </w:r>
      <w:sdt>
        <w:sdtPr>
          <w:rPr>
            <w:rFonts w:ascii="Arial" w:hAnsi="Arial" w:cs="Arial"/>
            <w:color w:val="000000"/>
            <w:szCs w:val="23"/>
          </w:rPr>
          <w:id w:val="-892729932"/>
          <w:citation/>
        </w:sdtPr>
        <w:sdtEndPr/>
        <w:sdtContent>
          <w:r w:rsidR="00C7776A">
            <w:rPr>
              <w:rFonts w:ascii="Arial" w:hAnsi="Arial" w:cs="Arial"/>
              <w:color w:val="000000"/>
              <w:szCs w:val="23"/>
            </w:rPr>
            <w:fldChar w:fldCharType="begin"/>
          </w:r>
          <w:r w:rsidR="00C7776A">
            <w:rPr>
              <w:rFonts w:ascii="Arial" w:hAnsi="Arial" w:cs="Arial"/>
              <w:color w:val="000000"/>
              <w:szCs w:val="23"/>
            </w:rPr>
            <w:instrText xml:space="preserve"> CITATION Cob12 \l 1033 </w:instrText>
          </w:r>
          <w:r w:rsidR="00C7776A">
            <w:rPr>
              <w:rFonts w:ascii="Arial" w:hAnsi="Arial" w:cs="Arial"/>
              <w:color w:val="000000"/>
              <w:szCs w:val="23"/>
            </w:rPr>
            <w:fldChar w:fldCharType="separate"/>
          </w:r>
          <w:r w:rsidR="002B4FCC" w:rsidRPr="002B4FCC">
            <w:rPr>
              <w:rFonts w:ascii="Arial" w:hAnsi="Arial" w:cs="Arial"/>
              <w:noProof/>
              <w:color w:val="000000"/>
              <w:szCs w:val="23"/>
            </w:rPr>
            <w:t>(Cobb Alcohol Task Force, 2012)</w:t>
          </w:r>
          <w:r w:rsidR="00C7776A">
            <w:rPr>
              <w:rFonts w:ascii="Arial" w:hAnsi="Arial" w:cs="Arial"/>
              <w:color w:val="000000"/>
              <w:szCs w:val="23"/>
            </w:rPr>
            <w:fldChar w:fldCharType="end"/>
          </w:r>
        </w:sdtContent>
      </w:sdt>
      <w:r w:rsidR="00C7776A">
        <w:rPr>
          <w:rFonts w:ascii="Arial" w:hAnsi="Arial" w:cs="Arial"/>
          <w:color w:val="000000"/>
          <w:szCs w:val="23"/>
        </w:rPr>
        <w:t xml:space="preserve">.  </w:t>
      </w:r>
      <w:r>
        <w:rPr>
          <w:rFonts w:ascii="Arial" w:hAnsi="Arial" w:cs="Arial"/>
          <w:color w:val="000000"/>
          <w:szCs w:val="23"/>
        </w:rPr>
        <w:t xml:space="preserve">According to one community coalition working in alcohol prevention, “severe penalties associated with state law means strong evidence is needed for a conviction” </w:t>
      </w:r>
      <w:sdt>
        <w:sdtPr>
          <w:rPr>
            <w:rFonts w:ascii="Arial" w:hAnsi="Arial" w:cs="Arial"/>
            <w:color w:val="000000"/>
            <w:szCs w:val="23"/>
          </w:rPr>
          <w:id w:val="-564489070"/>
          <w:citation/>
        </w:sdtPr>
        <w:sdtEndPr/>
        <w:sdtContent>
          <w:r w:rsidR="00C7776A">
            <w:rPr>
              <w:rFonts w:ascii="Arial" w:hAnsi="Arial" w:cs="Arial"/>
              <w:color w:val="000000"/>
              <w:szCs w:val="23"/>
            </w:rPr>
            <w:fldChar w:fldCharType="begin"/>
          </w:r>
          <w:r w:rsidR="00C7776A">
            <w:rPr>
              <w:rFonts w:ascii="Arial" w:hAnsi="Arial" w:cs="Arial"/>
              <w:color w:val="000000"/>
              <w:szCs w:val="23"/>
            </w:rPr>
            <w:instrText xml:space="preserve"> CITATION Cob12 \l 1033 </w:instrText>
          </w:r>
          <w:r w:rsidR="00C7776A">
            <w:rPr>
              <w:rFonts w:ascii="Arial" w:hAnsi="Arial" w:cs="Arial"/>
              <w:color w:val="000000"/>
              <w:szCs w:val="23"/>
            </w:rPr>
            <w:fldChar w:fldCharType="separate"/>
          </w:r>
          <w:r w:rsidR="002B4FCC" w:rsidRPr="002B4FCC">
            <w:rPr>
              <w:rFonts w:ascii="Arial" w:hAnsi="Arial" w:cs="Arial"/>
              <w:noProof/>
              <w:color w:val="000000"/>
              <w:szCs w:val="23"/>
            </w:rPr>
            <w:t>(Cobb Alcohol Task Force, 2012)</w:t>
          </w:r>
          <w:r w:rsidR="00C7776A">
            <w:rPr>
              <w:rFonts w:ascii="Arial" w:hAnsi="Arial" w:cs="Arial"/>
              <w:color w:val="000000"/>
              <w:szCs w:val="23"/>
            </w:rPr>
            <w:fldChar w:fldCharType="end"/>
          </w:r>
        </w:sdtContent>
      </w:sdt>
      <w:r w:rsidR="00C7776A">
        <w:rPr>
          <w:rFonts w:ascii="Arial" w:hAnsi="Arial" w:cs="Arial"/>
          <w:color w:val="000000"/>
          <w:szCs w:val="23"/>
        </w:rPr>
        <w:t>.</w:t>
      </w:r>
    </w:p>
    <w:p w14:paraId="461E6E12" w14:textId="77777777" w:rsidR="00E27A7E" w:rsidRDefault="00E27A7E" w:rsidP="00827CC0">
      <w:pPr>
        <w:spacing w:line="276" w:lineRule="auto"/>
        <w:contextualSpacing/>
        <w:rPr>
          <w:rFonts w:ascii="Times New Roman" w:hAnsi="Times New Roman"/>
          <w:b/>
          <w:bCs/>
          <w:color w:val="000000"/>
        </w:rPr>
      </w:pPr>
    </w:p>
    <w:p w14:paraId="7DBC4C61" w14:textId="6837F77D" w:rsidR="00ED1C3F" w:rsidRPr="00E27A7E" w:rsidRDefault="00E27A7E" w:rsidP="00827CC0">
      <w:pPr>
        <w:spacing w:line="276" w:lineRule="auto"/>
        <w:contextualSpacing/>
        <w:rPr>
          <w:rStyle w:val="SubtleEmphasis"/>
          <w:i w:val="0"/>
          <w:color w:val="94B6D2" w:themeColor="accent1"/>
          <w:sz w:val="32"/>
          <w:szCs w:val="32"/>
        </w:rPr>
      </w:pPr>
      <w:r w:rsidRPr="00E27A7E">
        <w:rPr>
          <w:b/>
          <w:bCs/>
          <w:color w:val="94B6D2" w:themeColor="accent1"/>
          <w:sz w:val="32"/>
          <w:szCs w:val="32"/>
        </w:rPr>
        <w:t>Organization of this Literature Review</w:t>
      </w:r>
      <w:r w:rsidR="00ED1C3F" w:rsidRPr="00E27A7E">
        <w:rPr>
          <w:rStyle w:val="SubtleEmphasis"/>
          <w:color w:val="94B6D2" w:themeColor="accent1"/>
          <w:sz w:val="32"/>
          <w:szCs w:val="32"/>
        </w:rPr>
        <w:t xml:space="preserve"> </w:t>
      </w:r>
    </w:p>
    <w:p w14:paraId="28DB7D8E" w14:textId="7B0F531C" w:rsidR="00E27A7E" w:rsidRPr="00827CC0" w:rsidRDefault="00E27A7E" w:rsidP="00827CC0">
      <w:pPr>
        <w:spacing w:line="276" w:lineRule="auto"/>
        <w:contextualSpacing/>
        <w:rPr>
          <w:rFonts w:ascii="Arial" w:hAnsi="Arial" w:cs="Arial"/>
          <w:szCs w:val="23"/>
        </w:rPr>
      </w:pPr>
      <w:r w:rsidRPr="00827CC0">
        <w:rPr>
          <w:rFonts w:ascii="Arial" w:hAnsi="Arial" w:cs="Arial"/>
          <w:color w:val="000000"/>
          <w:szCs w:val="23"/>
        </w:rPr>
        <w:t xml:space="preserve">This review will first present a table that displays all the articles found in this review at a glance. All relevant data is included in this table, </w:t>
      </w:r>
      <w:r w:rsidR="006D1C3E">
        <w:rPr>
          <w:rFonts w:ascii="Arial" w:hAnsi="Arial" w:cs="Arial"/>
          <w:color w:val="000000"/>
          <w:szCs w:val="23"/>
        </w:rPr>
        <w:t>including article name and purpose,</w:t>
      </w:r>
      <w:r w:rsidRPr="00827CC0">
        <w:rPr>
          <w:rFonts w:ascii="Arial" w:hAnsi="Arial" w:cs="Arial"/>
          <w:color w:val="000000"/>
          <w:szCs w:val="23"/>
        </w:rPr>
        <w:t xml:space="preserve"> major findings, and pertinent methodological information. Following the table will </w:t>
      </w:r>
      <w:r w:rsidR="006D1C3E">
        <w:rPr>
          <w:rFonts w:ascii="Arial" w:hAnsi="Arial" w:cs="Arial"/>
          <w:color w:val="000000"/>
          <w:szCs w:val="23"/>
        </w:rPr>
        <w:t xml:space="preserve">be </w:t>
      </w:r>
      <w:r w:rsidRPr="00827CC0">
        <w:rPr>
          <w:rFonts w:ascii="Arial" w:hAnsi="Arial" w:cs="Arial"/>
          <w:color w:val="000000"/>
          <w:szCs w:val="23"/>
        </w:rPr>
        <w:t xml:space="preserve">the review itself, which presents fuller descriptions of the articles reviewed in the table. </w:t>
      </w:r>
      <w:r w:rsidR="002078EE">
        <w:rPr>
          <w:rFonts w:ascii="Arial" w:hAnsi="Arial" w:cs="Arial"/>
          <w:color w:val="000000"/>
          <w:szCs w:val="23"/>
        </w:rPr>
        <w:t>Additionally,</w:t>
      </w:r>
      <w:r w:rsidRPr="00827CC0">
        <w:rPr>
          <w:rFonts w:ascii="Arial" w:hAnsi="Arial" w:cs="Arial"/>
          <w:color w:val="000000"/>
          <w:szCs w:val="23"/>
        </w:rPr>
        <w:t xml:space="preserve"> there is a section titled </w:t>
      </w:r>
      <w:r w:rsidRPr="00827CC0">
        <w:rPr>
          <w:rFonts w:ascii="Arial" w:hAnsi="Arial" w:cs="Arial"/>
          <w:i/>
          <w:iCs/>
          <w:color w:val="000000"/>
          <w:szCs w:val="23"/>
        </w:rPr>
        <w:t xml:space="preserve">Information for Key Stakeholders </w:t>
      </w:r>
      <w:r w:rsidRPr="00827CC0">
        <w:rPr>
          <w:rFonts w:ascii="Arial" w:hAnsi="Arial" w:cs="Arial"/>
          <w:color w:val="000000"/>
          <w:szCs w:val="23"/>
        </w:rPr>
        <w:t xml:space="preserve">that provides “bite-sized” information that is accessible and engaging for key stakeholders who may prefer information in a most compact form. Finally, references are listed for those who wish to consult the original sources for additional information. </w:t>
      </w:r>
    </w:p>
    <w:p w14:paraId="058EC626" w14:textId="77777777" w:rsidR="002965BF" w:rsidRDefault="002965BF" w:rsidP="00827CC0">
      <w:pPr>
        <w:spacing w:line="276" w:lineRule="auto"/>
        <w:contextualSpacing/>
      </w:pPr>
    </w:p>
    <w:p w14:paraId="5BDF5356" w14:textId="77777777" w:rsidR="00827CC0" w:rsidRDefault="00E27A7E" w:rsidP="00827CC0">
      <w:pPr>
        <w:spacing w:line="276" w:lineRule="auto"/>
        <w:contextualSpacing/>
        <w:rPr>
          <w:b/>
          <w:bCs/>
          <w:color w:val="94B6D2" w:themeColor="accent1"/>
          <w:sz w:val="32"/>
          <w:szCs w:val="32"/>
        </w:rPr>
      </w:pPr>
      <w:r w:rsidRPr="00E27A7E">
        <w:rPr>
          <w:b/>
          <w:bCs/>
          <w:color w:val="94B6D2" w:themeColor="accent1"/>
          <w:sz w:val="32"/>
          <w:szCs w:val="32"/>
        </w:rPr>
        <w:t>Literature Review</w:t>
      </w:r>
    </w:p>
    <w:p w14:paraId="251B3386" w14:textId="218CF996" w:rsidR="00E27A7E" w:rsidRPr="00827CC0" w:rsidRDefault="00E27A7E" w:rsidP="00827CC0">
      <w:pPr>
        <w:spacing w:line="276" w:lineRule="auto"/>
        <w:contextualSpacing/>
        <w:rPr>
          <w:b/>
          <w:bCs/>
          <w:color w:val="94B6D2" w:themeColor="accent1"/>
          <w:sz w:val="32"/>
          <w:szCs w:val="32"/>
        </w:rPr>
      </w:pPr>
      <w:r w:rsidRPr="00ED04B1">
        <w:rPr>
          <w:rFonts w:ascii="Arial" w:hAnsi="Arial" w:cs="Arial"/>
          <w:b/>
          <w:bCs/>
          <w:i/>
          <w:color w:val="000000"/>
        </w:rPr>
        <w:t>Methods</w:t>
      </w:r>
    </w:p>
    <w:p w14:paraId="340D900E" w14:textId="2A0CFAA9" w:rsidR="00A672F4" w:rsidRPr="00827CC0" w:rsidRDefault="00E27A7E" w:rsidP="00827CC0">
      <w:pPr>
        <w:spacing w:line="276" w:lineRule="auto"/>
        <w:contextualSpacing/>
        <w:rPr>
          <w:rFonts w:ascii="Arial" w:hAnsi="Arial" w:cs="Arial"/>
          <w:szCs w:val="23"/>
        </w:rPr>
      </w:pPr>
      <w:r w:rsidRPr="00827CC0">
        <w:rPr>
          <w:rFonts w:ascii="Arial" w:hAnsi="Arial" w:cs="Arial"/>
          <w:color w:val="000000"/>
          <w:szCs w:val="23"/>
        </w:rPr>
        <w:t xml:space="preserve">A review of articles in the top public health journals in the United States revealed that while there are a number of research articles about the effectiveness of social host policy in reducing underage drinking, there is far less research on the </w:t>
      </w:r>
      <w:r w:rsidRPr="00827CC0">
        <w:rPr>
          <w:rFonts w:ascii="Arial" w:hAnsi="Arial" w:cs="Arial"/>
          <w:i/>
          <w:color w:val="000000"/>
          <w:szCs w:val="23"/>
        </w:rPr>
        <w:t xml:space="preserve">social host policies in the state of Georgia. </w:t>
      </w:r>
      <w:r w:rsidRPr="00827CC0">
        <w:rPr>
          <w:rFonts w:ascii="Arial" w:hAnsi="Arial" w:cs="Arial"/>
          <w:color w:val="000000"/>
          <w:szCs w:val="23"/>
        </w:rPr>
        <w:t>Therefore, the major theme of relevant literature was research on the effectiveness of social host laws, nationally. Research from top, peer-reviewed public health journals was included in this review, provided it h</w:t>
      </w:r>
      <w:r w:rsidR="0059399C" w:rsidRPr="00827CC0">
        <w:rPr>
          <w:rFonts w:ascii="Arial" w:hAnsi="Arial" w:cs="Arial"/>
          <w:color w:val="000000"/>
          <w:szCs w:val="23"/>
        </w:rPr>
        <w:t>ad been published in the last fifteen</w:t>
      </w:r>
      <w:r w:rsidRPr="00827CC0">
        <w:rPr>
          <w:rFonts w:ascii="Arial" w:hAnsi="Arial" w:cs="Arial"/>
          <w:color w:val="000000"/>
          <w:szCs w:val="23"/>
        </w:rPr>
        <w:t xml:space="preserve"> years (from 2000-2015). In addition to these selected journals, the “snowball method” was used to gather relevant research from similar journals, databases, or sources. Search terms were limited to “alcohol” and </w:t>
      </w:r>
      <w:r w:rsidR="0059399C" w:rsidRPr="00827CC0">
        <w:rPr>
          <w:rFonts w:ascii="Arial" w:hAnsi="Arial" w:cs="Arial"/>
          <w:color w:val="000000"/>
          <w:szCs w:val="23"/>
        </w:rPr>
        <w:t>“social host,” and a total of thirty-four</w:t>
      </w:r>
      <w:r w:rsidRPr="00827CC0">
        <w:rPr>
          <w:rFonts w:ascii="Arial" w:hAnsi="Arial" w:cs="Arial"/>
          <w:color w:val="000000"/>
          <w:szCs w:val="23"/>
        </w:rPr>
        <w:t xml:space="preserve"> articles were found. The most relevant articles are listed </w:t>
      </w:r>
      <w:r w:rsidR="00827CC0">
        <w:rPr>
          <w:rFonts w:ascii="Arial" w:hAnsi="Arial" w:cs="Arial"/>
          <w:color w:val="000000"/>
          <w:szCs w:val="23"/>
        </w:rPr>
        <w:t>in the following table.</w:t>
      </w:r>
    </w:p>
    <w:p w14:paraId="4929B32A" w14:textId="77777777" w:rsidR="00E27A7E" w:rsidRDefault="00E27A7E" w:rsidP="00827CC0">
      <w:pPr>
        <w:pStyle w:val="normal0"/>
        <w:ind w:left="720"/>
        <w:contextualSpacing/>
      </w:pPr>
    </w:p>
    <w:p w14:paraId="0B87855D" w14:textId="77777777" w:rsidR="0059399C" w:rsidRDefault="0059399C" w:rsidP="00827CC0">
      <w:pPr>
        <w:spacing w:line="276" w:lineRule="auto"/>
        <w:contextualSpacing/>
        <w:rPr>
          <w:rFonts w:ascii="Arial" w:eastAsia="Times New Roman" w:hAnsi="Arial" w:cs="Arial"/>
          <w:b/>
        </w:rPr>
      </w:pPr>
    </w:p>
    <w:p w14:paraId="69140B09" w14:textId="77777777" w:rsidR="0059399C" w:rsidRDefault="0059399C" w:rsidP="00E27A7E">
      <w:pPr>
        <w:spacing w:line="480" w:lineRule="auto"/>
        <w:rPr>
          <w:rFonts w:ascii="Arial" w:eastAsia="Times New Roman" w:hAnsi="Arial" w:cs="Arial"/>
          <w:b/>
        </w:rPr>
      </w:pPr>
    </w:p>
    <w:p w14:paraId="18AF81BF" w14:textId="77777777" w:rsidR="0059399C" w:rsidRDefault="0059399C" w:rsidP="0059399C">
      <w:pPr>
        <w:spacing w:line="240" w:lineRule="auto"/>
        <w:rPr>
          <w:rFonts w:ascii="Arial" w:eastAsia="Times New Roman" w:hAnsi="Arial" w:cs="Arial"/>
          <w:b/>
        </w:rPr>
      </w:pPr>
    </w:p>
    <w:p w14:paraId="41C04906" w14:textId="77777777" w:rsidR="00827CC0" w:rsidRDefault="00827CC0" w:rsidP="0059399C">
      <w:pPr>
        <w:spacing w:line="240" w:lineRule="auto"/>
        <w:rPr>
          <w:rFonts w:ascii="Arial" w:eastAsia="Times New Roman" w:hAnsi="Arial" w:cs="Arial"/>
          <w:b/>
        </w:rPr>
      </w:pPr>
    </w:p>
    <w:p w14:paraId="08BE3D3B" w14:textId="77777777" w:rsidR="00827CC0" w:rsidRDefault="00827CC0" w:rsidP="0059399C">
      <w:pPr>
        <w:spacing w:line="240" w:lineRule="auto"/>
        <w:rPr>
          <w:rFonts w:ascii="Arial" w:eastAsia="Times New Roman" w:hAnsi="Arial" w:cs="Arial"/>
          <w:b/>
        </w:rPr>
      </w:pPr>
    </w:p>
    <w:p w14:paraId="053FAFF1" w14:textId="77777777" w:rsidR="00827CC0" w:rsidRDefault="00827CC0" w:rsidP="0059399C">
      <w:pPr>
        <w:spacing w:line="240" w:lineRule="auto"/>
        <w:rPr>
          <w:rFonts w:ascii="Arial" w:eastAsia="Times New Roman" w:hAnsi="Arial" w:cs="Arial"/>
          <w:b/>
        </w:rPr>
      </w:pPr>
    </w:p>
    <w:p w14:paraId="0FEBF251" w14:textId="40F858B2" w:rsidR="00E27A7E" w:rsidRPr="00ED04B1" w:rsidRDefault="00E27A7E" w:rsidP="0059399C">
      <w:pPr>
        <w:spacing w:line="240" w:lineRule="auto"/>
        <w:rPr>
          <w:rFonts w:ascii="Arial" w:hAnsi="Arial" w:cs="Arial"/>
          <w:color w:val="000000"/>
        </w:rPr>
      </w:pPr>
      <w:r w:rsidRPr="00ED04B1">
        <w:rPr>
          <w:rFonts w:ascii="Arial" w:eastAsia="Times New Roman" w:hAnsi="Arial" w:cs="Arial"/>
          <w:b/>
        </w:rPr>
        <w:t>Table 1</w:t>
      </w:r>
      <w:r w:rsidR="0059399C">
        <w:rPr>
          <w:rFonts w:ascii="Arial" w:eastAsia="Times New Roman" w:hAnsi="Arial" w:cs="Arial"/>
          <w:b/>
        </w:rPr>
        <w:t>:</w:t>
      </w:r>
      <w:r w:rsidRPr="00ED04B1">
        <w:rPr>
          <w:rFonts w:ascii="Arial" w:eastAsia="Times New Roman" w:hAnsi="Arial" w:cs="Arial"/>
          <w:b/>
        </w:rPr>
        <w:t xml:space="preserve"> Relevant Research Articles</w:t>
      </w:r>
    </w:p>
    <w:tbl>
      <w:tblPr>
        <w:tblStyle w:val="TableGrid"/>
        <w:tblW w:w="0" w:type="auto"/>
        <w:tblLook w:val="04A0" w:firstRow="1" w:lastRow="0" w:firstColumn="1" w:lastColumn="0" w:noHBand="0" w:noVBand="1"/>
      </w:tblPr>
      <w:tblGrid>
        <w:gridCol w:w="1982"/>
        <w:gridCol w:w="2712"/>
        <w:gridCol w:w="2576"/>
        <w:gridCol w:w="3026"/>
      </w:tblGrid>
      <w:tr w:rsidR="000A6BD7" w:rsidRPr="006D1C3E" w14:paraId="42FF600C" w14:textId="77777777" w:rsidTr="0059399C">
        <w:trPr>
          <w:cantSplit/>
          <w:trHeight w:val="20"/>
        </w:trPr>
        <w:tc>
          <w:tcPr>
            <w:tcW w:w="0" w:type="auto"/>
            <w:shd w:val="clear" w:color="auto" w:fill="F3F3F3"/>
            <w:vAlign w:val="bottom"/>
          </w:tcPr>
          <w:p w14:paraId="69BBD834" w14:textId="43CF9167" w:rsidR="00E27A7E" w:rsidRPr="006D1C3E" w:rsidRDefault="00CE12C0" w:rsidP="00CE12C0">
            <w:pPr>
              <w:rPr>
                <w:rFonts w:ascii="Arial" w:hAnsi="Arial" w:cs="Arial"/>
                <w:b/>
                <w:color w:val="000000"/>
                <w:sz w:val="20"/>
              </w:rPr>
            </w:pPr>
            <w:r w:rsidRPr="006D1C3E">
              <w:rPr>
                <w:rFonts w:ascii="Arial" w:hAnsi="Arial" w:cs="Arial"/>
                <w:b/>
                <w:color w:val="000000"/>
                <w:sz w:val="20"/>
              </w:rPr>
              <w:t xml:space="preserve">Article </w:t>
            </w:r>
          </w:p>
        </w:tc>
        <w:tc>
          <w:tcPr>
            <w:tcW w:w="0" w:type="auto"/>
            <w:shd w:val="clear" w:color="auto" w:fill="F3F3F3"/>
            <w:vAlign w:val="bottom"/>
          </w:tcPr>
          <w:p w14:paraId="6662275E" w14:textId="77777777" w:rsidR="00E27A7E" w:rsidRPr="006D1C3E" w:rsidRDefault="00E27A7E" w:rsidP="0059399C">
            <w:pPr>
              <w:rPr>
                <w:rFonts w:ascii="Arial" w:hAnsi="Arial" w:cs="Arial"/>
                <w:b/>
                <w:color w:val="000000"/>
                <w:sz w:val="20"/>
              </w:rPr>
            </w:pPr>
            <w:r w:rsidRPr="006D1C3E">
              <w:rPr>
                <w:rFonts w:ascii="Arial" w:hAnsi="Arial" w:cs="Arial"/>
                <w:b/>
                <w:color w:val="000000"/>
                <w:sz w:val="20"/>
              </w:rPr>
              <w:t>Purpose of Article</w:t>
            </w:r>
          </w:p>
        </w:tc>
        <w:tc>
          <w:tcPr>
            <w:tcW w:w="0" w:type="auto"/>
            <w:shd w:val="clear" w:color="auto" w:fill="F3F3F3"/>
            <w:vAlign w:val="bottom"/>
          </w:tcPr>
          <w:p w14:paraId="5E8D313D" w14:textId="77777777" w:rsidR="00E27A7E" w:rsidRPr="006D1C3E" w:rsidRDefault="00E27A7E" w:rsidP="0059399C">
            <w:pPr>
              <w:rPr>
                <w:rFonts w:ascii="Arial" w:hAnsi="Arial" w:cs="Arial"/>
                <w:b/>
                <w:color w:val="000000"/>
                <w:sz w:val="20"/>
              </w:rPr>
            </w:pPr>
            <w:r w:rsidRPr="006D1C3E">
              <w:rPr>
                <w:rFonts w:ascii="Arial" w:hAnsi="Arial" w:cs="Arial"/>
                <w:b/>
                <w:color w:val="000000"/>
                <w:sz w:val="20"/>
              </w:rPr>
              <w:t>Findings</w:t>
            </w:r>
          </w:p>
        </w:tc>
        <w:tc>
          <w:tcPr>
            <w:tcW w:w="0" w:type="auto"/>
            <w:shd w:val="clear" w:color="auto" w:fill="D9D9D9"/>
            <w:vAlign w:val="bottom"/>
          </w:tcPr>
          <w:p w14:paraId="69A6E72C" w14:textId="77777777" w:rsidR="00E27A7E" w:rsidRPr="006D1C3E" w:rsidRDefault="00E27A7E" w:rsidP="0059399C">
            <w:pPr>
              <w:rPr>
                <w:rFonts w:ascii="Arial" w:hAnsi="Arial" w:cs="Arial"/>
                <w:b/>
                <w:color w:val="000000"/>
                <w:sz w:val="20"/>
              </w:rPr>
            </w:pPr>
            <w:r w:rsidRPr="006D1C3E">
              <w:rPr>
                <w:rFonts w:ascii="Arial" w:hAnsi="Arial" w:cs="Arial"/>
                <w:b/>
                <w:color w:val="000000"/>
                <w:sz w:val="20"/>
              </w:rPr>
              <w:t>Take-Away for Providers</w:t>
            </w:r>
          </w:p>
        </w:tc>
      </w:tr>
      <w:tr w:rsidR="000A6BD7" w:rsidRPr="006D1C3E" w14:paraId="3F871552" w14:textId="77777777" w:rsidTr="00CE12C0">
        <w:trPr>
          <w:cantSplit/>
          <w:trHeight w:val="2168"/>
        </w:trPr>
        <w:tc>
          <w:tcPr>
            <w:tcW w:w="0" w:type="auto"/>
            <w:shd w:val="clear" w:color="auto" w:fill="F3F3F3"/>
          </w:tcPr>
          <w:p w14:paraId="24D3C952" w14:textId="6BDF099B" w:rsidR="000A6BD7" w:rsidRDefault="000A6BD7" w:rsidP="00CE12C0">
            <w:pPr>
              <w:rPr>
                <w:rFonts w:ascii="Arial" w:eastAsia="Times New Roman" w:hAnsi="Arial" w:cs="Arial"/>
                <w:b/>
                <w:sz w:val="20"/>
              </w:rPr>
            </w:pPr>
            <w:r>
              <w:rPr>
                <w:rFonts w:ascii="Arial" w:eastAsia="Times New Roman" w:hAnsi="Arial" w:cs="Arial"/>
                <w:b/>
                <w:sz w:val="20"/>
              </w:rPr>
              <w:t>Article 1:</w:t>
            </w:r>
          </w:p>
          <w:p w14:paraId="5A1476C3" w14:textId="66806FB3" w:rsidR="00E27A7E" w:rsidRPr="006D1C3E" w:rsidRDefault="0059399C" w:rsidP="00CE12C0">
            <w:pPr>
              <w:rPr>
                <w:rFonts w:ascii="Arial" w:eastAsia="Times New Roman" w:hAnsi="Arial" w:cs="Arial"/>
                <w:i/>
                <w:sz w:val="20"/>
              </w:rPr>
            </w:pPr>
            <w:r w:rsidRPr="006D1C3E">
              <w:rPr>
                <w:rFonts w:ascii="Arial" w:eastAsia="Times New Roman" w:hAnsi="Arial" w:cs="Arial"/>
                <w:sz w:val="20"/>
              </w:rPr>
              <w:t>A Review of Social Host Policies Focused on Underage Drinking Parties: S</w:t>
            </w:r>
            <w:r w:rsidR="00CE12C0" w:rsidRPr="006D1C3E">
              <w:rPr>
                <w:rFonts w:ascii="Arial" w:eastAsia="Times New Roman" w:hAnsi="Arial" w:cs="Arial"/>
                <w:sz w:val="20"/>
              </w:rPr>
              <w:t>uggestions for Future Research</w:t>
            </w:r>
          </w:p>
        </w:tc>
        <w:tc>
          <w:tcPr>
            <w:tcW w:w="0" w:type="auto"/>
            <w:shd w:val="clear" w:color="auto" w:fill="F3F3F3"/>
          </w:tcPr>
          <w:p w14:paraId="5E1CFED7" w14:textId="77777777" w:rsidR="00E27A7E" w:rsidRPr="006D1C3E" w:rsidRDefault="00E27A7E" w:rsidP="00E27A7E">
            <w:pPr>
              <w:rPr>
                <w:rFonts w:ascii="Arial" w:hAnsi="Arial" w:cs="Arial"/>
                <w:color w:val="000000"/>
                <w:sz w:val="20"/>
              </w:rPr>
            </w:pPr>
            <w:r w:rsidRPr="006D1C3E">
              <w:rPr>
                <w:rFonts w:ascii="Arial" w:hAnsi="Arial" w:cs="Arial"/>
                <w:color w:val="000000"/>
                <w:sz w:val="20"/>
              </w:rPr>
              <w:t xml:space="preserve">To evaluate the effectiveness of social host laws in reducing the negative consequences of underage drinking. </w:t>
            </w:r>
          </w:p>
        </w:tc>
        <w:tc>
          <w:tcPr>
            <w:tcW w:w="0" w:type="auto"/>
            <w:shd w:val="clear" w:color="auto" w:fill="F3F3F3"/>
          </w:tcPr>
          <w:p w14:paraId="19695C71" w14:textId="77777777" w:rsidR="00E27A7E" w:rsidRPr="006D1C3E" w:rsidRDefault="00E27A7E" w:rsidP="00E27A7E">
            <w:pPr>
              <w:rPr>
                <w:rFonts w:ascii="Arial" w:hAnsi="Arial" w:cs="Arial"/>
                <w:color w:val="000000"/>
                <w:sz w:val="20"/>
              </w:rPr>
            </w:pPr>
            <w:r w:rsidRPr="006D1C3E">
              <w:rPr>
                <w:rFonts w:ascii="Arial" w:hAnsi="Arial" w:cs="Arial"/>
                <w:color w:val="000000"/>
                <w:sz w:val="20"/>
              </w:rPr>
              <w:t xml:space="preserve">Since nearly one-third of youth can obtain alcohol from social sources, and that excessive drinking occurs outside the house, SH laws give law enforcement a tool to deter underage drinking.  </w:t>
            </w:r>
          </w:p>
        </w:tc>
        <w:tc>
          <w:tcPr>
            <w:tcW w:w="0" w:type="auto"/>
            <w:shd w:val="clear" w:color="auto" w:fill="D9D9D9"/>
          </w:tcPr>
          <w:p w14:paraId="7A0C28D3" w14:textId="77777777" w:rsidR="00E27A7E" w:rsidRPr="006D1C3E" w:rsidRDefault="00E27A7E" w:rsidP="00E27A7E">
            <w:pPr>
              <w:rPr>
                <w:rFonts w:ascii="Arial" w:hAnsi="Arial" w:cs="Arial"/>
                <w:color w:val="000000"/>
                <w:sz w:val="20"/>
              </w:rPr>
            </w:pPr>
            <w:r w:rsidRPr="006D1C3E">
              <w:rPr>
                <w:rFonts w:ascii="Arial" w:hAnsi="Arial" w:cs="Arial"/>
                <w:color w:val="000000"/>
                <w:sz w:val="20"/>
              </w:rPr>
              <w:t xml:space="preserve">The perceived threat of being held responsible for potentially serious financial burden is more threatening than civil penalties. </w:t>
            </w:r>
          </w:p>
        </w:tc>
      </w:tr>
      <w:tr w:rsidR="000A6BD7" w:rsidRPr="006D1C3E" w14:paraId="1913CC4A" w14:textId="77777777" w:rsidTr="0012266E">
        <w:trPr>
          <w:cantSplit/>
          <w:trHeight w:val="20"/>
        </w:trPr>
        <w:tc>
          <w:tcPr>
            <w:tcW w:w="0" w:type="auto"/>
            <w:shd w:val="clear" w:color="auto" w:fill="F3F3F3"/>
          </w:tcPr>
          <w:p w14:paraId="7C901ACC" w14:textId="3F60F660" w:rsidR="000A6BD7" w:rsidRDefault="000A6BD7" w:rsidP="00CE12C0">
            <w:pPr>
              <w:rPr>
                <w:rFonts w:ascii="Arial" w:hAnsi="Arial" w:cs="Arial"/>
                <w:b/>
                <w:color w:val="000000"/>
                <w:sz w:val="20"/>
              </w:rPr>
            </w:pPr>
            <w:r>
              <w:rPr>
                <w:rFonts w:ascii="Arial" w:hAnsi="Arial" w:cs="Arial"/>
                <w:b/>
                <w:color w:val="000000"/>
                <w:sz w:val="20"/>
              </w:rPr>
              <w:t xml:space="preserve">Article 2: </w:t>
            </w:r>
          </w:p>
          <w:p w14:paraId="76ACD347" w14:textId="684A118C" w:rsidR="00E27A7E" w:rsidRPr="006D1C3E" w:rsidRDefault="0059399C" w:rsidP="00CE12C0">
            <w:pPr>
              <w:rPr>
                <w:rFonts w:ascii="Arial" w:eastAsia="Times New Roman" w:hAnsi="Arial" w:cs="Arial"/>
                <w:color w:val="222222"/>
                <w:sz w:val="20"/>
                <w:shd w:val="clear" w:color="auto" w:fill="FFFFFF"/>
              </w:rPr>
            </w:pPr>
            <w:r w:rsidRPr="006D1C3E">
              <w:rPr>
                <w:rFonts w:ascii="Arial" w:hAnsi="Arial" w:cs="Arial"/>
                <w:color w:val="000000"/>
                <w:sz w:val="20"/>
              </w:rPr>
              <w:t>Reducing Harmful Alcohol-Related Behaviors: Effective Regulatory Methods</w:t>
            </w:r>
          </w:p>
        </w:tc>
        <w:tc>
          <w:tcPr>
            <w:tcW w:w="0" w:type="auto"/>
            <w:shd w:val="clear" w:color="auto" w:fill="F3F3F3"/>
          </w:tcPr>
          <w:p w14:paraId="5F323052" w14:textId="77777777" w:rsidR="00E27A7E" w:rsidRPr="006D1C3E" w:rsidRDefault="00E27A7E" w:rsidP="00E27A7E">
            <w:pPr>
              <w:rPr>
                <w:rFonts w:ascii="Arial" w:hAnsi="Arial" w:cs="Arial"/>
                <w:color w:val="000000"/>
                <w:sz w:val="20"/>
              </w:rPr>
            </w:pPr>
            <w:r w:rsidRPr="006D1C3E">
              <w:rPr>
                <w:rFonts w:ascii="Arial" w:hAnsi="Arial" w:cs="Arial"/>
                <w:color w:val="000000"/>
                <w:sz w:val="20"/>
              </w:rPr>
              <w:t xml:space="preserve">To assess the effectiveness of a wide range of policies designed to reduce the frequency of drinking and driving after “heavy episodic drinking.” Social host policies were one such policy. </w:t>
            </w:r>
          </w:p>
        </w:tc>
        <w:tc>
          <w:tcPr>
            <w:tcW w:w="0" w:type="auto"/>
            <w:shd w:val="clear" w:color="auto" w:fill="F3F3F3"/>
          </w:tcPr>
          <w:p w14:paraId="2374986D" w14:textId="3CC6BE3A" w:rsidR="00E27A7E" w:rsidRPr="006D1C3E" w:rsidRDefault="00E27A7E" w:rsidP="00E27A7E">
            <w:pPr>
              <w:rPr>
                <w:rFonts w:ascii="Arial" w:hAnsi="Arial" w:cs="Arial"/>
                <w:color w:val="000000"/>
                <w:sz w:val="20"/>
              </w:rPr>
            </w:pPr>
            <w:r w:rsidRPr="006D1C3E">
              <w:rPr>
                <w:rFonts w:ascii="Arial" w:hAnsi="Arial" w:cs="Arial"/>
                <w:color w:val="000000"/>
                <w:sz w:val="20"/>
              </w:rPr>
              <w:t>People living</w:t>
            </w:r>
            <w:r w:rsidR="00ED04B1" w:rsidRPr="006D1C3E">
              <w:rPr>
                <w:rFonts w:ascii="Arial" w:hAnsi="Arial" w:cs="Arial"/>
                <w:color w:val="000000"/>
                <w:sz w:val="20"/>
              </w:rPr>
              <w:t xml:space="preserve"> in states with SH laws, like Georgia</w:t>
            </w:r>
            <w:r w:rsidRPr="006D1C3E">
              <w:rPr>
                <w:rFonts w:ascii="Arial" w:hAnsi="Arial" w:cs="Arial"/>
                <w:color w:val="000000"/>
                <w:sz w:val="20"/>
              </w:rPr>
              <w:t xml:space="preserve">, experience fewer “heavy drinking episodes and drinking &amp; driving behavior.” </w:t>
            </w:r>
          </w:p>
        </w:tc>
        <w:tc>
          <w:tcPr>
            <w:tcW w:w="0" w:type="auto"/>
            <w:shd w:val="clear" w:color="auto" w:fill="D9D9D9"/>
          </w:tcPr>
          <w:p w14:paraId="4B0850E2" w14:textId="77777777" w:rsidR="00E27A7E" w:rsidRPr="006D1C3E" w:rsidRDefault="00E27A7E" w:rsidP="00E27A7E">
            <w:pPr>
              <w:rPr>
                <w:rFonts w:ascii="Arial" w:hAnsi="Arial" w:cs="Arial"/>
                <w:color w:val="000000"/>
                <w:sz w:val="20"/>
              </w:rPr>
            </w:pPr>
            <w:r w:rsidRPr="006D1C3E">
              <w:rPr>
                <w:rFonts w:ascii="Arial" w:hAnsi="Arial" w:cs="Arial"/>
                <w:color w:val="000000"/>
                <w:sz w:val="20"/>
              </w:rPr>
              <w:t xml:space="preserve">SH may lead drinkers to be more responsible, by encouraging them to drink less, not to drive, or find a designated driver.  </w:t>
            </w:r>
          </w:p>
        </w:tc>
      </w:tr>
      <w:tr w:rsidR="000A6BD7" w:rsidRPr="006D1C3E" w14:paraId="5CAABB85" w14:textId="77777777" w:rsidTr="0012266E">
        <w:trPr>
          <w:cantSplit/>
          <w:trHeight w:val="20"/>
        </w:trPr>
        <w:tc>
          <w:tcPr>
            <w:tcW w:w="0" w:type="auto"/>
            <w:shd w:val="clear" w:color="auto" w:fill="F3F3F3"/>
          </w:tcPr>
          <w:p w14:paraId="05D89ADE" w14:textId="77777777" w:rsidR="000A6BD7" w:rsidRDefault="000A6BD7" w:rsidP="00CE12C0">
            <w:pPr>
              <w:rPr>
                <w:rFonts w:ascii="Arial" w:hAnsi="Arial" w:cs="Arial"/>
                <w:b/>
                <w:color w:val="000000"/>
                <w:sz w:val="20"/>
              </w:rPr>
            </w:pPr>
            <w:r>
              <w:rPr>
                <w:rFonts w:ascii="Arial" w:hAnsi="Arial" w:cs="Arial"/>
                <w:b/>
                <w:color w:val="000000"/>
                <w:sz w:val="20"/>
              </w:rPr>
              <w:t>Article 3:</w:t>
            </w:r>
          </w:p>
          <w:p w14:paraId="7EBC73C0" w14:textId="3534F557" w:rsidR="00E27A7E" w:rsidRPr="006D1C3E" w:rsidRDefault="0059399C" w:rsidP="00CE12C0">
            <w:pPr>
              <w:rPr>
                <w:rFonts w:ascii="Arial" w:hAnsi="Arial" w:cs="Arial"/>
                <w:color w:val="000000"/>
                <w:sz w:val="20"/>
              </w:rPr>
            </w:pPr>
            <w:r w:rsidRPr="006D1C3E">
              <w:rPr>
                <w:rFonts w:ascii="Arial" w:hAnsi="Arial" w:cs="Arial"/>
                <w:color w:val="000000"/>
                <w:sz w:val="20"/>
              </w:rPr>
              <w:t>Social Host Liability for Minors and U</w:t>
            </w:r>
            <w:r w:rsidR="00CE12C0" w:rsidRPr="006D1C3E">
              <w:rPr>
                <w:rFonts w:ascii="Arial" w:hAnsi="Arial" w:cs="Arial"/>
                <w:color w:val="000000"/>
                <w:sz w:val="20"/>
              </w:rPr>
              <w:t>nderage Drunk-Driving Accidents</w:t>
            </w:r>
          </w:p>
        </w:tc>
        <w:tc>
          <w:tcPr>
            <w:tcW w:w="0" w:type="auto"/>
            <w:shd w:val="clear" w:color="auto" w:fill="F3F3F3"/>
          </w:tcPr>
          <w:p w14:paraId="1EB19712" w14:textId="2F5C9E1C" w:rsidR="00E27A7E" w:rsidRPr="006D1C3E" w:rsidRDefault="00E27A7E" w:rsidP="00CE12C0">
            <w:pPr>
              <w:rPr>
                <w:rFonts w:ascii="Arial" w:hAnsi="Arial" w:cs="Arial"/>
                <w:color w:val="000000"/>
                <w:sz w:val="20"/>
              </w:rPr>
            </w:pPr>
            <w:r w:rsidRPr="006D1C3E">
              <w:rPr>
                <w:rFonts w:ascii="Arial" w:hAnsi="Arial" w:cs="Arial"/>
                <w:color w:val="000000"/>
                <w:sz w:val="20"/>
              </w:rPr>
              <w:t xml:space="preserve">To test whether the adoption of social host laws for minors (SHLM) affects drunk driving by teenagers 18-20 years old.  </w:t>
            </w:r>
          </w:p>
        </w:tc>
        <w:tc>
          <w:tcPr>
            <w:tcW w:w="0" w:type="auto"/>
            <w:shd w:val="clear" w:color="auto" w:fill="F3F3F3"/>
          </w:tcPr>
          <w:p w14:paraId="1DFD4D01" w14:textId="77777777" w:rsidR="00E27A7E" w:rsidRPr="006D1C3E" w:rsidRDefault="00E27A7E" w:rsidP="00E27A7E">
            <w:pPr>
              <w:rPr>
                <w:rFonts w:ascii="Arial" w:hAnsi="Arial" w:cs="Arial"/>
                <w:color w:val="000000"/>
                <w:sz w:val="20"/>
              </w:rPr>
            </w:pPr>
            <w:r w:rsidRPr="006D1C3E">
              <w:rPr>
                <w:rFonts w:ascii="Arial" w:hAnsi="Arial" w:cs="Arial"/>
                <w:color w:val="000000"/>
                <w:sz w:val="20"/>
              </w:rPr>
              <w:t xml:space="preserve">SHLM reduces the traffic fatalities rate in accidents involving a drunk driver by 9%. </w:t>
            </w:r>
          </w:p>
        </w:tc>
        <w:tc>
          <w:tcPr>
            <w:tcW w:w="0" w:type="auto"/>
            <w:shd w:val="clear" w:color="auto" w:fill="D9D9D9"/>
          </w:tcPr>
          <w:p w14:paraId="197FF36F" w14:textId="15A31549" w:rsidR="00E27A7E" w:rsidRPr="006D1C3E" w:rsidRDefault="00E27A7E" w:rsidP="0067323C">
            <w:pPr>
              <w:rPr>
                <w:rFonts w:ascii="Arial" w:hAnsi="Arial" w:cs="Arial"/>
                <w:color w:val="000000"/>
                <w:sz w:val="20"/>
              </w:rPr>
            </w:pPr>
            <w:r w:rsidRPr="006D1C3E">
              <w:rPr>
                <w:rFonts w:ascii="Arial" w:hAnsi="Arial" w:cs="Arial"/>
                <w:color w:val="000000"/>
                <w:sz w:val="20"/>
              </w:rPr>
              <w:t xml:space="preserve">SHLM appear to work not by reducing drinking, but by </w:t>
            </w:r>
            <w:r w:rsidR="0067323C">
              <w:rPr>
                <w:rFonts w:ascii="Arial" w:hAnsi="Arial" w:cs="Arial"/>
                <w:color w:val="000000"/>
                <w:sz w:val="20"/>
              </w:rPr>
              <w:t>discouraging</w:t>
            </w:r>
            <w:r w:rsidRPr="006D1C3E">
              <w:rPr>
                <w:rFonts w:ascii="Arial" w:hAnsi="Arial" w:cs="Arial"/>
                <w:color w:val="000000"/>
                <w:sz w:val="20"/>
              </w:rPr>
              <w:t xml:space="preserve"> underage drinkers </w:t>
            </w:r>
            <w:r w:rsidRPr="006D1C3E">
              <w:rPr>
                <w:rFonts w:ascii="Arial" w:hAnsi="Arial" w:cs="Arial"/>
                <w:i/>
                <w:color w:val="000000"/>
                <w:sz w:val="20"/>
              </w:rPr>
              <w:t>from driving</w:t>
            </w:r>
            <w:r w:rsidRPr="006D1C3E">
              <w:rPr>
                <w:rFonts w:ascii="Arial" w:hAnsi="Arial" w:cs="Arial"/>
                <w:color w:val="000000"/>
                <w:sz w:val="20"/>
              </w:rPr>
              <w:t xml:space="preserve">. The policy works especially for drunk drivers prone to be repeat offenders. </w:t>
            </w:r>
          </w:p>
        </w:tc>
      </w:tr>
      <w:tr w:rsidR="000A6BD7" w:rsidRPr="006D1C3E" w14:paraId="499FA798" w14:textId="77777777" w:rsidTr="0012266E">
        <w:trPr>
          <w:cantSplit/>
          <w:trHeight w:val="20"/>
        </w:trPr>
        <w:tc>
          <w:tcPr>
            <w:tcW w:w="0" w:type="auto"/>
            <w:shd w:val="clear" w:color="auto" w:fill="F3F3F3"/>
          </w:tcPr>
          <w:p w14:paraId="4BB4D994" w14:textId="740BEDD6" w:rsidR="000A6BD7" w:rsidRDefault="000A6BD7" w:rsidP="00CE12C0">
            <w:pPr>
              <w:rPr>
                <w:rFonts w:ascii="Arial" w:hAnsi="Arial" w:cs="Arial"/>
                <w:b/>
                <w:color w:val="000000"/>
                <w:sz w:val="20"/>
              </w:rPr>
            </w:pPr>
            <w:r>
              <w:rPr>
                <w:rFonts w:ascii="Arial" w:hAnsi="Arial" w:cs="Arial"/>
                <w:b/>
                <w:color w:val="000000"/>
                <w:sz w:val="20"/>
              </w:rPr>
              <w:t xml:space="preserve">Article 4: </w:t>
            </w:r>
          </w:p>
          <w:p w14:paraId="28459A01" w14:textId="2C63468C" w:rsidR="00E27A7E" w:rsidRPr="006D1C3E" w:rsidRDefault="00CE12C0" w:rsidP="00CE12C0">
            <w:pPr>
              <w:rPr>
                <w:rFonts w:ascii="Arial" w:eastAsia="Times New Roman" w:hAnsi="Arial" w:cs="Arial"/>
                <w:sz w:val="20"/>
              </w:rPr>
            </w:pPr>
            <w:r w:rsidRPr="006D1C3E">
              <w:rPr>
                <w:rFonts w:ascii="Arial" w:hAnsi="Arial" w:cs="Arial"/>
                <w:color w:val="000000"/>
                <w:sz w:val="20"/>
              </w:rPr>
              <w:t>Social Host Policies and Underage Drinking Parties</w:t>
            </w:r>
          </w:p>
        </w:tc>
        <w:tc>
          <w:tcPr>
            <w:tcW w:w="0" w:type="auto"/>
            <w:shd w:val="clear" w:color="auto" w:fill="F3F3F3"/>
          </w:tcPr>
          <w:p w14:paraId="1131E6BE" w14:textId="77777777" w:rsidR="00E27A7E" w:rsidRPr="006D1C3E" w:rsidRDefault="00E27A7E" w:rsidP="00E27A7E">
            <w:pPr>
              <w:rPr>
                <w:rFonts w:ascii="Arial" w:hAnsi="Arial" w:cs="Arial"/>
                <w:color w:val="000000"/>
                <w:sz w:val="20"/>
              </w:rPr>
            </w:pPr>
            <w:r w:rsidRPr="006D1C3E">
              <w:rPr>
                <w:rFonts w:ascii="Arial" w:hAnsi="Arial" w:cs="Arial"/>
                <w:color w:val="000000"/>
                <w:sz w:val="20"/>
              </w:rPr>
              <w:t xml:space="preserve">This study examined the effects of coalition-based underage drinking prevention initiatives. OJJDP analyzed data from 68 communities in 5 states for this study.  </w:t>
            </w:r>
          </w:p>
        </w:tc>
        <w:tc>
          <w:tcPr>
            <w:tcW w:w="0" w:type="auto"/>
            <w:shd w:val="clear" w:color="auto" w:fill="F3F3F3"/>
          </w:tcPr>
          <w:p w14:paraId="426DBA59" w14:textId="14360BF8" w:rsidR="00E27A7E" w:rsidRPr="006D1C3E" w:rsidRDefault="00E27A7E" w:rsidP="00E27A7E">
            <w:pPr>
              <w:rPr>
                <w:rFonts w:ascii="Arial" w:hAnsi="Arial" w:cs="Arial"/>
                <w:color w:val="000000"/>
                <w:sz w:val="20"/>
              </w:rPr>
            </w:pPr>
            <w:r w:rsidRPr="006D1C3E">
              <w:rPr>
                <w:rFonts w:ascii="Arial" w:hAnsi="Arial" w:cs="Arial"/>
                <w:color w:val="000000"/>
                <w:sz w:val="20"/>
              </w:rPr>
              <w:t>Despite findings to the contrary (Stout, 2000; Dill, 2010)</w:t>
            </w:r>
            <w:r w:rsidR="0012266E" w:rsidRPr="006D1C3E">
              <w:rPr>
                <w:rFonts w:ascii="Arial" w:hAnsi="Arial" w:cs="Arial"/>
                <w:color w:val="000000"/>
                <w:sz w:val="20"/>
              </w:rPr>
              <w:t>,</w:t>
            </w:r>
            <w:r w:rsidRPr="006D1C3E">
              <w:rPr>
                <w:rFonts w:ascii="Arial" w:hAnsi="Arial" w:cs="Arial"/>
                <w:color w:val="000000"/>
                <w:sz w:val="20"/>
              </w:rPr>
              <w:t xml:space="preserve"> this report found that SH laws were not associated with changing entrenched drinking behavior, such as binge drinking.   </w:t>
            </w:r>
          </w:p>
        </w:tc>
        <w:tc>
          <w:tcPr>
            <w:tcW w:w="0" w:type="auto"/>
            <w:shd w:val="clear" w:color="auto" w:fill="D9D9D9"/>
          </w:tcPr>
          <w:p w14:paraId="0692D26F" w14:textId="77777777" w:rsidR="00E27A7E" w:rsidRPr="006D1C3E" w:rsidRDefault="00E27A7E" w:rsidP="00E27A7E">
            <w:pPr>
              <w:rPr>
                <w:rFonts w:ascii="Arial" w:hAnsi="Arial" w:cs="Arial"/>
                <w:color w:val="000000"/>
                <w:sz w:val="20"/>
              </w:rPr>
            </w:pPr>
            <w:r w:rsidRPr="006D1C3E">
              <w:rPr>
                <w:rFonts w:ascii="Arial" w:hAnsi="Arial" w:cs="Arial"/>
                <w:color w:val="000000"/>
                <w:sz w:val="20"/>
              </w:rPr>
              <w:t xml:space="preserve">Social host laws attempt to change long-term behavior. This study found that the initial benefits might be limited to “mediating factors” of underage drinking, like changing the location or size of the group. Eventually, SH laws may reduce binge drinking. </w:t>
            </w:r>
          </w:p>
        </w:tc>
      </w:tr>
    </w:tbl>
    <w:p w14:paraId="5C3D968C" w14:textId="77777777" w:rsidR="0059399C" w:rsidRDefault="0059399C" w:rsidP="0012266E">
      <w:pPr>
        <w:pStyle w:val="normal0"/>
        <w:contextualSpacing/>
        <w:rPr>
          <w:rFonts w:asciiTheme="minorHAnsi" w:hAnsiTheme="minorHAnsi" w:cs="Times New Roman"/>
          <w:b/>
          <w:color w:val="94B6D2" w:themeColor="accent1"/>
          <w:sz w:val="32"/>
        </w:rPr>
      </w:pPr>
    </w:p>
    <w:p w14:paraId="41C56E92" w14:textId="77777777" w:rsidR="0059399C" w:rsidRDefault="0059399C" w:rsidP="0012266E">
      <w:pPr>
        <w:pStyle w:val="normal0"/>
        <w:contextualSpacing/>
        <w:rPr>
          <w:rFonts w:asciiTheme="minorHAnsi" w:hAnsiTheme="minorHAnsi" w:cs="Times New Roman"/>
          <w:b/>
          <w:color w:val="94B6D2" w:themeColor="accent1"/>
          <w:sz w:val="32"/>
        </w:rPr>
      </w:pPr>
    </w:p>
    <w:p w14:paraId="45DB04B6" w14:textId="47EAD3EA" w:rsidR="0012266E" w:rsidRPr="00827CC0" w:rsidRDefault="0012266E" w:rsidP="00827CC0">
      <w:pPr>
        <w:pStyle w:val="normal0"/>
        <w:contextualSpacing/>
        <w:rPr>
          <w:rFonts w:asciiTheme="minorHAnsi" w:hAnsiTheme="minorHAnsi"/>
          <w:b/>
          <w:color w:val="94B6D2" w:themeColor="accent1"/>
          <w:sz w:val="44"/>
        </w:rPr>
      </w:pPr>
      <w:r w:rsidRPr="0012266E">
        <w:rPr>
          <w:rFonts w:asciiTheme="minorHAnsi" w:hAnsiTheme="minorHAnsi" w:cs="Times New Roman"/>
          <w:b/>
          <w:color w:val="94B6D2" w:themeColor="accent1"/>
          <w:sz w:val="32"/>
        </w:rPr>
        <w:t>Summaries of Significant Articles</w:t>
      </w:r>
    </w:p>
    <w:p w14:paraId="08B01A3D" w14:textId="77777777" w:rsidR="000A6BD7" w:rsidRPr="000A6BD7" w:rsidRDefault="000A6BD7" w:rsidP="00827CC0">
      <w:pPr>
        <w:spacing w:line="276" w:lineRule="auto"/>
        <w:contextualSpacing/>
        <w:rPr>
          <w:rFonts w:ascii="Arial" w:eastAsia="Times New Roman" w:hAnsi="Arial" w:cs="Arial"/>
          <w:b/>
          <w:i/>
          <w:sz w:val="24"/>
        </w:rPr>
      </w:pPr>
      <w:r w:rsidRPr="000A6BD7">
        <w:rPr>
          <w:rFonts w:ascii="Arial" w:eastAsia="Times New Roman" w:hAnsi="Arial" w:cs="Arial"/>
          <w:b/>
          <w:i/>
          <w:sz w:val="24"/>
        </w:rPr>
        <w:t>Article 1</w:t>
      </w:r>
    </w:p>
    <w:p w14:paraId="686C4DC7" w14:textId="66EB546C" w:rsidR="006D1C3E" w:rsidRDefault="006D1C3E" w:rsidP="00827CC0">
      <w:pPr>
        <w:spacing w:line="276" w:lineRule="auto"/>
        <w:contextualSpacing/>
        <w:rPr>
          <w:rFonts w:ascii="Arial" w:hAnsi="Arial" w:cs="Arial"/>
          <w:color w:val="000000"/>
          <w:szCs w:val="23"/>
        </w:rPr>
      </w:pPr>
      <w:r w:rsidRPr="006D1C3E">
        <w:rPr>
          <w:rFonts w:ascii="Arial" w:eastAsia="Times New Roman" w:hAnsi="Arial" w:cs="Arial"/>
          <w:b/>
          <w:sz w:val="24"/>
        </w:rPr>
        <w:t>A Review of Social Host Policies Focused on Underage Drinking Parties: Suggestions for Future Research</w:t>
      </w:r>
      <w:r w:rsidRPr="006D1C3E">
        <w:rPr>
          <w:rFonts w:ascii="Arial" w:hAnsi="Arial" w:cs="Arial"/>
          <w:b/>
          <w:color w:val="000000"/>
          <w:sz w:val="28"/>
          <w:szCs w:val="23"/>
        </w:rPr>
        <w:t xml:space="preserve"> </w:t>
      </w:r>
    </w:p>
    <w:p w14:paraId="625FCDE3" w14:textId="085F9A22" w:rsidR="0012266E" w:rsidRPr="00827CC0" w:rsidRDefault="0012266E" w:rsidP="00827CC0">
      <w:pPr>
        <w:spacing w:line="276" w:lineRule="auto"/>
        <w:contextualSpacing/>
        <w:rPr>
          <w:rFonts w:ascii="Arial" w:hAnsi="Arial" w:cs="Arial"/>
          <w:szCs w:val="23"/>
        </w:rPr>
      </w:pPr>
      <w:r w:rsidRPr="00827CC0">
        <w:rPr>
          <w:rFonts w:ascii="Arial" w:hAnsi="Arial" w:cs="Arial"/>
          <w:color w:val="000000"/>
          <w:szCs w:val="23"/>
        </w:rPr>
        <w:t xml:space="preserve">Despite the laws prohibiting people under the age of 21 from consuming alcohol, alcohol is still the most widely used, and abused, drug in the US. Since studies have shown that young people consistently get alcohol from parents, friends, and other adults—one study from the American Medical Association found that “one-third of all teens 13-18 reported being able to obtain alcohol from consenting parents” – it is necessary to address the social sources that contribute to underage alcohol consumption </w:t>
      </w:r>
      <w:sdt>
        <w:sdtPr>
          <w:rPr>
            <w:rFonts w:ascii="Arial" w:hAnsi="Arial" w:cs="Arial"/>
            <w:color w:val="000000"/>
            <w:szCs w:val="23"/>
          </w:rPr>
          <w:id w:val="-117149299"/>
          <w:citation/>
        </w:sdtPr>
        <w:sdtEndPr/>
        <w:sdtContent>
          <w:r w:rsidR="006D1C3E">
            <w:rPr>
              <w:rFonts w:ascii="Arial" w:hAnsi="Arial" w:cs="Arial"/>
              <w:color w:val="000000"/>
              <w:szCs w:val="23"/>
            </w:rPr>
            <w:fldChar w:fldCharType="begin"/>
          </w:r>
          <w:r w:rsidR="006D1C3E">
            <w:rPr>
              <w:rFonts w:ascii="Arial" w:hAnsi="Arial" w:cs="Arial"/>
              <w:color w:val="000000"/>
              <w:szCs w:val="23"/>
            </w:rPr>
            <w:instrText xml:space="preserve"> CITATION Wag12 \l 1033 </w:instrText>
          </w:r>
          <w:r w:rsidR="006D1C3E">
            <w:rPr>
              <w:rFonts w:ascii="Arial" w:hAnsi="Arial" w:cs="Arial"/>
              <w:color w:val="000000"/>
              <w:szCs w:val="23"/>
            </w:rPr>
            <w:fldChar w:fldCharType="separate"/>
          </w:r>
          <w:r w:rsidR="002B4FCC" w:rsidRPr="002B4FCC">
            <w:rPr>
              <w:rFonts w:ascii="Arial" w:hAnsi="Arial" w:cs="Arial"/>
              <w:noProof/>
              <w:color w:val="000000"/>
              <w:szCs w:val="23"/>
            </w:rPr>
            <w:t>(Wagoner, Francisco, Sparks, Wyrick, Nichols, &amp; Wolfson, 2012)</w:t>
          </w:r>
          <w:r w:rsidR="006D1C3E">
            <w:rPr>
              <w:rFonts w:ascii="Arial" w:hAnsi="Arial" w:cs="Arial"/>
              <w:color w:val="000000"/>
              <w:szCs w:val="23"/>
            </w:rPr>
            <w:fldChar w:fldCharType="end"/>
          </w:r>
        </w:sdtContent>
      </w:sdt>
      <w:r w:rsidR="006D1C3E">
        <w:rPr>
          <w:rFonts w:ascii="Arial" w:hAnsi="Arial" w:cs="Arial"/>
          <w:color w:val="000000"/>
          <w:szCs w:val="23"/>
        </w:rPr>
        <w:t xml:space="preserve">.  </w:t>
      </w:r>
      <w:r w:rsidRPr="00827CC0">
        <w:rPr>
          <w:rFonts w:ascii="Arial" w:hAnsi="Arial" w:cs="Arial"/>
          <w:color w:val="000000"/>
          <w:szCs w:val="23"/>
        </w:rPr>
        <w:t xml:space="preserve">Another important source of </w:t>
      </w:r>
      <w:r w:rsidR="006D1C3E">
        <w:rPr>
          <w:rFonts w:ascii="Arial" w:hAnsi="Arial" w:cs="Arial"/>
          <w:color w:val="000000"/>
          <w:szCs w:val="23"/>
        </w:rPr>
        <w:t>alcohol is at parties, where 56 percent of 9th graders and 60 percent</w:t>
      </w:r>
      <w:r w:rsidRPr="00827CC0">
        <w:rPr>
          <w:rFonts w:ascii="Arial" w:hAnsi="Arial" w:cs="Arial"/>
          <w:color w:val="000000"/>
          <w:szCs w:val="23"/>
        </w:rPr>
        <w:t xml:space="preserve"> of 12th graders report getting alcohol at a party. Studies have found that youth drank more outside of their house, with less adult supervision, and when they were in “peer only” groups. In addition, research on underage drinking in high school found a strong association between high school underage drinking and excessive drinking in college; drinking games were common in both situations. In order to be effective, social host policies must be consistent &amp; enforceable</w:t>
      </w:r>
      <w:r w:rsidR="006D1C3E">
        <w:rPr>
          <w:rFonts w:ascii="Arial" w:hAnsi="Arial" w:cs="Arial"/>
          <w:color w:val="000000"/>
          <w:szCs w:val="23"/>
        </w:rPr>
        <w:t>. The policies target those who provide alcohol to minors</w:t>
      </w:r>
      <w:r w:rsidRPr="00827CC0">
        <w:rPr>
          <w:rFonts w:ascii="Arial" w:hAnsi="Arial" w:cs="Arial"/>
          <w:color w:val="000000"/>
          <w:szCs w:val="23"/>
        </w:rPr>
        <w:t xml:space="preserve"> and host UAD parties. </w:t>
      </w:r>
    </w:p>
    <w:p w14:paraId="106A7A13" w14:textId="66F9368E" w:rsidR="0012266E" w:rsidRPr="00827CC0" w:rsidRDefault="0012266E" w:rsidP="00827CC0">
      <w:pPr>
        <w:spacing w:line="276" w:lineRule="auto"/>
        <w:contextualSpacing/>
        <w:rPr>
          <w:rFonts w:ascii="Arial" w:hAnsi="Arial" w:cs="Arial"/>
          <w:szCs w:val="23"/>
        </w:rPr>
      </w:pPr>
      <w:r w:rsidRPr="00827CC0">
        <w:rPr>
          <w:rFonts w:ascii="Arial" w:eastAsia="Times New Roman" w:hAnsi="Arial" w:cs="Arial"/>
          <w:szCs w:val="23"/>
        </w:rPr>
        <w:t xml:space="preserve">According to Wagoner, the </w:t>
      </w:r>
      <w:r w:rsidRPr="00827CC0">
        <w:rPr>
          <w:rFonts w:ascii="Arial" w:hAnsi="Arial" w:cs="Arial"/>
          <w:color w:val="000000"/>
          <w:szCs w:val="23"/>
        </w:rPr>
        <w:t xml:space="preserve">primary purpose of SHO laws is to deter parties, which are associated with binge drinking and serious consequences of UAD, including unintentional injuries, sexual assault, violence, and drinking &amp; driving (p. 106). SH laws give law enforcement a tool to “hold individuals accountable for hosting UAD parties,” (p. 108) and hosts can include youth, parents, tenants, and landlords, even those who are not physically present when the party occurs. Penalties for social hosting </w:t>
      </w:r>
      <w:r w:rsidR="0054207E" w:rsidRPr="0054207E">
        <w:rPr>
          <w:rFonts w:ascii="Arial" w:hAnsi="Arial" w:cs="Arial"/>
          <w:i/>
          <w:color w:val="000000"/>
          <w:szCs w:val="23"/>
        </w:rPr>
        <w:t>can</w:t>
      </w:r>
      <w:r w:rsidR="0054207E">
        <w:rPr>
          <w:rFonts w:ascii="Arial" w:hAnsi="Arial" w:cs="Arial"/>
          <w:color w:val="000000"/>
          <w:szCs w:val="23"/>
        </w:rPr>
        <w:t xml:space="preserve"> </w:t>
      </w:r>
      <w:r w:rsidRPr="00827CC0">
        <w:rPr>
          <w:rFonts w:ascii="Arial" w:hAnsi="Arial" w:cs="Arial"/>
          <w:color w:val="000000"/>
          <w:szCs w:val="23"/>
        </w:rPr>
        <w:t xml:space="preserve">include: city/county criminal sanctions, civil penalties, and response cost recovery fees. In Georgia, however, penalties include “state SH civil liability” for serving an intoxicated minor. This study mirrors recent reports </w:t>
      </w:r>
      <w:sdt>
        <w:sdtPr>
          <w:rPr>
            <w:rFonts w:ascii="Arial" w:hAnsi="Arial" w:cs="Arial"/>
            <w:color w:val="000000"/>
            <w:szCs w:val="23"/>
          </w:rPr>
          <w:id w:val="-172412908"/>
          <w:citation/>
        </w:sdtPr>
        <w:sdtContent>
          <w:r w:rsidR="002B4FCC">
            <w:rPr>
              <w:rFonts w:ascii="Arial" w:hAnsi="Arial" w:cs="Arial"/>
              <w:color w:val="000000"/>
              <w:szCs w:val="23"/>
            </w:rPr>
            <w:fldChar w:fldCharType="begin"/>
          </w:r>
          <w:r w:rsidR="002B4FCC">
            <w:rPr>
              <w:rFonts w:ascii="Arial" w:hAnsi="Arial" w:cs="Arial"/>
              <w:color w:val="000000"/>
              <w:szCs w:val="23"/>
            </w:rPr>
            <w:instrText xml:space="preserve"> CITATION Fel14 \l 1033 </w:instrText>
          </w:r>
          <w:r w:rsidR="002B4FCC">
            <w:rPr>
              <w:rFonts w:ascii="Arial" w:hAnsi="Arial" w:cs="Arial"/>
              <w:color w:val="000000"/>
              <w:szCs w:val="23"/>
            </w:rPr>
            <w:fldChar w:fldCharType="separate"/>
          </w:r>
          <w:r w:rsidR="002B4FCC" w:rsidRPr="002B4FCC">
            <w:rPr>
              <w:rFonts w:ascii="Arial" w:hAnsi="Arial" w:cs="Arial"/>
              <w:noProof/>
              <w:color w:val="000000"/>
              <w:szCs w:val="23"/>
            </w:rPr>
            <w:t>(Fell, Scherer, Thomas, &amp; Voas, 2014)</w:t>
          </w:r>
          <w:r w:rsidR="002B4FCC">
            <w:rPr>
              <w:rFonts w:ascii="Arial" w:hAnsi="Arial" w:cs="Arial"/>
              <w:color w:val="000000"/>
              <w:szCs w:val="23"/>
            </w:rPr>
            <w:fldChar w:fldCharType="end"/>
          </w:r>
        </w:sdtContent>
      </w:sdt>
      <w:r w:rsidR="002B4FCC">
        <w:rPr>
          <w:rFonts w:ascii="Arial" w:hAnsi="Arial" w:cs="Arial"/>
          <w:color w:val="000000"/>
          <w:szCs w:val="23"/>
        </w:rPr>
        <w:t xml:space="preserve"> </w:t>
      </w:r>
      <w:r w:rsidRPr="00827CC0">
        <w:rPr>
          <w:rFonts w:ascii="Arial" w:hAnsi="Arial" w:cs="Arial"/>
          <w:color w:val="000000"/>
          <w:szCs w:val="23"/>
        </w:rPr>
        <w:t xml:space="preserve">that found that the mere threat of being held liable for potentially onerous financial damages as a result of a lawsuit is a perceived as more threatening than the possibility of an arrest or citation. </w:t>
      </w:r>
    </w:p>
    <w:p w14:paraId="08228B5A" w14:textId="77777777" w:rsidR="0012266E" w:rsidRDefault="0012266E" w:rsidP="00827CC0">
      <w:pPr>
        <w:spacing w:line="276" w:lineRule="auto"/>
        <w:contextualSpacing/>
        <w:rPr>
          <w:rFonts w:ascii="Arial" w:hAnsi="Arial" w:cs="Arial"/>
          <w:sz w:val="22"/>
        </w:rPr>
      </w:pPr>
    </w:p>
    <w:p w14:paraId="6D12B143" w14:textId="77777777" w:rsidR="000A6BD7" w:rsidRPr="000A6BD7" w:rsidRDefault="000A6BD7" w:rsidP="00827CC0">
      <w:pPr>
        <w:spacing w:line="276" w:lineRule="auto"/>
        <w:contextualSpacing/>
        <w:rPr>
          <w:rFonts w:ascii="Arial" w:hAnsi="Arial" w:cs="Arial"/>
          <w:b/>
          <w:i/>
          <w:color w:val="000000"/>
          <w:sz w:val="24"/>
        </w:rPr>
      </w:pPr>
      <w:r w:rsidRPr="000A6BD7">
        <w:rPr>
          <w:rFonts w:ascii="Arial" w:hAnsi="Arial" w:cs="Arial"/>
          <w:b/>
          <w:i/>
          <w:color w:val="000000"/>
          <w:sz w:val="24"/>
        </w:rPr>
        <w:t>Article 2</w:t>
      </w:r>
    </w:p>
    <w:p w14:paraId="50969E47" w14:textId="0127451D" w:rsidR="006D1C3E" w:rsidRPr="006D1C3E" w:rsidRDefault="006D1C3E" w:rsidP="00827CC0">
      <w:pPr>
        <w:spacing w:line="276" w:lineRule="auto"/>
        <w:contextualSpacing/>
        <w:rPr>
          <w:rFonts w:ascii="Arial" w:hAnsi="Arial" w:cs="Arial"/>
          <w:b/>
          <w:color w:val="000000"/>
          <w:sz w:val="28"/>
          <w:szCs w:val="23"/>
        </w:rPr>
      </w:pPr>
      <w:r w:rsidRPr="006D1C3E">
        <w:rPr>
          <w:rFonts w:ascii="Arial" w:hAnsi="Arial" w:cs="Arial"/>
          <w:b/>
          <w:color w:val="000000"/>
          <w:sz w:val="24"/>
        </w:rPr>
        <w:t>Reducing Harmful Alcohol-Related Behaviors: Effective Regulatory Methods</w:t>
      </w:r>
      <w:r w:rsidRPr="006D1C3E">
        <w:rPr>
          <w:rFonts w:ascii="Arial" w:hAnsi="Arial" w:cs="Arial"/>
          <w:b/>
          <w:color w:val="000000"/>
          <w:sz w:val="28"/>
          <w:szCs w:val="23"/>
        </w:rPr>
        <w:t xml:space="preserve"> </w:t>
      </w:r>
    </w:p>
    <w:p w14:paraId="44999C62" w14:textId="7A7D0B05" w:rsidR="0012266E" w:rsidRPr="00827CC0" w:rsidRDefault="0012266E" w:rsidP="00827CC0">
      <w:pPr>
        <w:spacing w:line="276" w:lineRule="auto"/>
        <w:contextualSpacing/>
        <w:rPr>
          <w:rFonts w:ascii="Arial" w:hAnsi="Arial" w:cs="Arial"/>
          <w:color w:val="000000"/>
          <w:szCs w:val="23"/>
        </w:rPr>
      </w:pPr>
      <w:r w:rsidRPr="00827CC0">
        <w:rPr>
          <w:rFonts w:ascii="Arial" w:hAnsi="Arial" w:cs="Arial"/>
          <w:color w:val="000000"/>
          <w:szCs w:val="23"/>
        </w:rPr>
        <w:t xml:space="preserve">In a meta-analysis of the effectiveness of regulation on drinking behavior, Stout found that states that employed environmental strategies like social host initiatives were likely to be successful in reducing underage drinking. Social host laws operate on the principle that hosts are able to monitor alcohol consumptions of guests, or at least not serve them to excess. According to Stout, people living in states with social host liability laws, such as Georgia, reported “fewer heavy drinking episodes and drinking &amp; driving behavior” </w:t>
      </w:r>
      <w:sdt>
        <w:sdtPr>
          <w:rPr>
            <w:rFonts w:ascii="Arial" w:hAnsi="Arial" w:cs="Arial"/>
            <w:color w:val="000000"/>
            <w:szCs w:val="23"/>
          </w:rPr>
          <w:id w:val="-1363362791"/>
          <w:citation/>
        </w:sdtPr>
        <w:sdtEndPr/>
        <w:sdtContent>
          <w:r w:rsidR="000A6BD7">
            <w:rPr>
              <w:rFonts w:ascii="Arial" w:hAnsi="Arial" w:cs="Arial"/>
              <w:color w:val="000000"/>
              <w:szCs w:val="23"/>
            </w:rPr>
            <w:fldChar w:fldCharType="begin"/>
          </w:r>
          <w:r w:rsidR="000A6BD7">
            <w:rPr>
              <w:rFonts w:ascii="Arial" w:hAnsi="Arial" w:cs="Arial"/>
              <w:color w:val="000000"/>
              <w:szCs w:val="23"/>
            </w:rPr>
            <w:instrText xml:space="preserve"> CITATION Sto00 \l 1033 </w:instrText>
          </w:r>
          <w:r w:rsidR="000A6BD7">
            <w:rPr>
              <w:rFonts w:ascii="Arial" w:hAnsi="Arial" w:cs="Arial"/>
              <w:color w:val="000000"/>
              <w:szCs w:val="23"/>
            </w:rPr>
            <w:fldChar w:fldCharType="separate"/>
          </w:r>
          <w:r w:rsidR="002B4FCC" w:rsidRPr="002B4FCC">
            <w:rPr>
              <w:rFonts w:ascii="Arial" w:hAnsi="Arial" w:cs="Arial"/>
              <w:noProof/>
              <w:color w:val="000000"/>
              <w:szCs w:val="23"/>
            </w:rPr>
            <w:t>(Stout, Sloan, Liang, &amp; Davies, 2000)</w:t>
          </w:r>
          <w:r w:rsidR="000A6BD7">
            <w:rPr>
              <w:rFonts w:ascii="Arial" w:hAnsi="Arial" w:cs="Arial"/>
              <w:color w:val="000000"/>
              <w:szCs w:val="23"/>
            </w:rPr>
            <w:fldChar w:fldCharType="end"/>
          </w:r>
        </w:sdtContent>
      </w:sdt>
      <w:r w:rsidR="000A6BD7">
        <w:rPr>
          <w:rFonts w:ascii="Arial" w:hAnsi="Arial" w:cs="Arial"/>
          <w:color w:val="000000"/>
          <w:szCs w:val="23"/>
        </w:rPr>
        <w:t>.  Drinking and</w:t>
      </w:r>
      <w:r w:rsidRPr="00827CC0">
        <w:rPr>
          <w:rFonts w:ascii="Arial" w:hAnsi="Arial" w:cs="Arial"/>
          <w:color w:val="000000"/>
          <w:szCs w:val="23"/>
        </w:rPr>
        <w:t xml:space="preserve"> driving fell for heavy drinkers, leading the authors to suggest that social host laws may encourage drinkers to engage in more responsible drinking behavior, such as finding a designated driver, ordering a ride home for an intoxicated guest, or limiting alcohol consumption of guests. Stout reported that social host liability is one of the more effective policies. The authors suggested that while criminal policies such as the ones advocated by MADD &amp; other groups are effective (mandatory minimum first sentences), environmental strategies such as social hosting laws are “just as effective in preventing excess consumption &amp; drunk driving” (p. 412). </w:t>
      </w:r>
    </w:p>
    <w:p w14:paraId="54113E35" w14:textId="77777777" w:rsidR="0012266E" w:rsidRPr="00827CC0" w:rsidRDefault="0012266E" w:rsidP="00827CC0">
      <w:pPr>
        <w:spacing w:line="276" w:lineRule="auto"/>
        <w:contextualSpacing/>
        <w:rPr>
          <w:rFonts w:ascii="Arial" w:hAnsi="Arial" w:cs="Arial"/>
          <w:color w:val="000000"/>
          <w:sz w:val="22"/>
        </w:rPr>
      </w:pPr>
    </w:p>
    <w:p w14:paraId="596806C7" w14:textId="77777777" w:rsidR="000A6BD7" w:rsidRPr="000A6BD7" w:rsidRDefault="000A6BD7" w:rsidP="00827CC0">
      <w:pPr>
        <w:spacing w:line="276" w:lineRule="auto"/>
        <w:contextualSpacing/>
        <w:rPr>
          <w:rFonts w:ascii="Arial" w:hAnsi="Arial" w:cs="Arial"/>
          <w:b/>
          <w:i/>
          <w:color w:val="000000"/>
          <w:sz w:val="24"/>
        </w:rPr>
      </w:pPr>
      <w:r w:rsidRPr="000A6BD7">
        <w:rPr>
          <w:rFonts w:ascii="Arial" w:hAnsi="Arial" w:cs="Arial"/>
          <w:b/>
          <w:i/>
          <w:color w:val="000000"/>
          <w:sz w:val="24"/>
        </w:rPr>
        <w:t>Article 3</w:t>
      </w:r>
    </w:p>
    <w:p w14:paraId="79809DC3" w14:textId="06D8ECCB" w:rsidR="006D1C3E" w:rsidRPr="006D1C3E" w:rsidRDefault="006D1C3E" w:rsidP="00827CC0">
      <w:pPr>
        <w:spacing w:line="276" w:lineRule="auto"/>
        <w:contextualSpacing/>
        <w:rPr>
          <w:rFonts w:ascii="Arial" w:hAnsi="Arial" w:cs="Arial"/>
          <w:b/>
          <w:color w:val="000000"/>
          <w:sz w:val="28"/>
          <w:szCs w:val="23"/>
        </w:rPr>
      </w:pPr>
      <w:r w:rsidRPr="006D1C3E">
        <w:rPr>
          <w:rFonts w:ascii="Arial" w:hAnsi="Arial" w:cs="Arial"/>
          <w:b/>
          <w:color w:val="000000"/>
          <w:sz w:val="24"/>
        </w:rPr>
        <w:t>Social Host Liability for Minors and Underage Drunk-Driving Accidents</w:t>
      </w:r>
      <w:r w:rsidRPr="006D1C3E">
        <w:rPr>
          <w:rFonts w:ascii="Arial" w:hAnsi="Arial" w:cs="Arial"/>
          <w:b/>
          <w:color w:val="000000"/>
          <w:sz w:val="28"/>
          <w:szCs w:val="23"/>
        </w:rPr>
        <w:t xml:space="preserve"> </w:t>
      </w:r>
    </w:p>
    <w:p w14:paraId="064954CF" w14:textId="3B98AABF" w:rsidR="0012266E" w:rsidRPr="00827CC0" w:rsidRDefault="0012266E" w:rsidP="00827CC0">
      <w:pPr>
        <w:spacing w:line="276" w:lineRule="auto"/>
        <w:contextualSpacing/>
        <w:rPr>
          <w:rFonts w:ascii="Arial" w:hAnsi="Arial" w:cs="Arial"/>
          <w:szCs w:val="23"/>
        </w:rPr>
      </w:pPr>
      <w:r w:rsidRPr="00827CC0">
        <w:rPr>
          <w:rFonts w:ascii="Arial" w:hAnsi="Arial" w:cs="Arial"/>
          <w:color w:val="000000"/>
          <w:szCs w:val="23"/>
        </w:rPr>
        <w:t xml:space="preserve">This study found that social host laws reduced </w:t>
      </w:r>
      <w:r w:rsidR="00AB5A92">
        <w:rPr>
          <w:rFonts w:ascii="Arial" w:hAnsi="Arial" w:cs="Arial"/>
          <w:color w:val="000000"/>
          <w:szCs w:val="23"/>
        </w:rPr>
        <w:t xml:space="preserve">the </w:t>
      </w:r>
      <w:r w:rsidRPr="00827CC0">
        <w:rPr>
          <w:rFonts w:ascii="Arial" w:hAnsi="Arial" w:cs="Arial"/>
          <w:color w:val="000000"/>
          <w:szCs w:val="23"/>
        </w:rPr>
        <w:t>drunk driving fatality rate by 9 percent.  Social host laws for minors (SHLM) have three effects: raise the price of drinking; may increase drunk driving for underage, as they drink in other places; strengthen incentive for hosts to monitor drinking and encourage guests not to drink and drive. Dills noted that “Social Host Laws for Minors affects drunk driving fatalities in two ways: reducing amount of alcohol consumed or reducing the probability of driving after consuming alcohol” (p. 247). SHLM reduces drunk driving and is notably effective at reducing the frequency of repeat offenders drunk driving (p. 248).</w:t>
      </w:r>
      <w:r w:rsidRPr="00827CC0">
        <w:rPr>
          <w:rFonts w:ascii="Arial" w:hAnsi="Arial" w:cs="Arial"/>
          <w:szCs w:val="23"/>
        </w:rPr>
        <w:t xml:space="preserve"> While Dills cautioned that SHLM </w:t>
      </w:r>
      <w:r w:rsidRPr="00827CC0">
        <w:rPr>
          <w:rFonts w:ascii="Arial" w:hAnsi="Arial" w:cs="Arial"/>
          <w:color w:val="000000"/>
          <w:szCs w:val="23"/>
        </w:rPr>
        <w:t>don’t appear to reduce alcohol consumption, but rather reduce the frequency by which underage youth drive after drinking: “SHLM appear to induce adults supervising alcohol consumption to pressure underage drinkers not to drive” (p. 248).</w:t>
      </w:r>
    </w:p>
    <w:p w14:paraId="46473688" w14:textId="77777777" w:rsidR="0012266E" w:rsidRPr="00827CC0" w:rsidRDefault="0012266E" w:rsidP="00827CC0">
      <w:pPr>
        <w:spacing w:line="276" w:lineRule="auto"/>
        <w:contextualSpacing/>
        <w:rPr>
          <w:rFonts w:ascii="Arial" w:hAnsi="Arial" w:cs="Arial"/>
          <w:color w:val="000000"/>
          <w:sz w:val="22"/>
        </w:rPr>
      </w:pPr>
    </w:p>
    <w:p w14:paraId="4B00DBD2" w14:textId="77777777" w:rsidR="000A6BD7" w:rsidRPr="000A6BD7" w:rsidRDefault="000A6BD7" w:rsidP="00827CC0">
      <w:pPr>
        <w:spacing w:line="276" w:lineRule="auto"/>
        <w:contextualSpacing/>
        <w:rPr>
          <w:rFonts w:ascii="Arial" w:hAnsi="Arial" w:cs="Arial"/>
          <w:b/>
          <w:i/>
          <w:color w:val="000000"/>
          <w:sz w:val="24"/>
        </w:rPr>
      </w:pPr>
      <w:r w:rsidRPr="000A6BD7">
        <w:rPr>
          <w:rFonts w:ascii="Arial" w:hAnsi="Arial" w:cs="Arial"/>
          <w:b/>
          <w:i/>
          <w:color w:val="000000"/>
          <w:sz w:val="24"/>
        </w:rPr>
        <w:t>Article 4</w:t>
      </w:r>
    </w:p>
    <w:p w14:paraId="7DC06DF6" w14:textId="7AFDEA57" w:rsidR="006D1C3E" w:rsidRPr="006D1C3E" w:rsidRDefault="006D1C3E" w:rsidP="00827CC0">
      <w:pPr>
        <w:spacing w:line="276" w:lineRule="auto"/>
        <w:contextualSpacing/>
        <w:rPr>
          <w:rFonts w:ascii="Arial" w:hAnsi="Arial" w:cs="Arial"/>
          <w:b/>
          <w:color w:val="000000"/>
          <w:sz w:val="28"/>
          <w:szCs w:val="23"/>
        </w:rPr>
      </w:pPr>
      <w:r w:rsidRPr="006D1C3E">
        <w:rPr>
          <w:rFonts w:ascii="Arial" w:hAnsi="Arial" w:cs="Arial"/>
          <w:b/>
          <w:color w:val="000000"/>
          <w:sz w:val="24"/>
        </w:rPr>
        <w:t>Social Host Policies and Underage Drinking Parties</w:t>
      </w:r>
      <w:r w:rsidRPr="006D1C3E">
        <w:rPr>
          <w:rFonts w:ascii="Arial" w:hAnsi="Arial" w:cs="Arial"/>
          <w:b/>
          <w:color w:val="000000"/>
          <w:sz w:val="28"/>
          <w:szCs w:val="23"/>
        </w:rPr>
        <w:t xml:space="preserve"> </w:t>
      </w:r>
    </w:p>
    <w:p w14:paraId="06F1380E" w14:textId="1B3A7786" w:rsidR="002078EE" w:rsidRPr="002078EE" w:rsidRDefault="0012266E" w:rsidP="00827CC0">
      <w:pPr>
        <w:spacing w:line="276" w:lineRule="auto"/>
        <w:contextualSpacing/>
        <w:rPr>
          <w:rFonts w:ascii="Arial" w:hAnsi="Arial" w:cs="Arial"/>
          <w:szCs w:val="23"/>
        </w:rPr>
      </w:pPr>
      <w:r w:rsidRPr="00827CC0">
        <w:rPr>
          <w:rFonts w:ascii="Arial" w:hAnsi="Arial" w:cs="Arial"/>
          <w:color w:val="000000"/>
          <w:szCs w:val="23"/>
        </w:rPr>
        <w:t xml:space="preserve">Communities are using a number of strategies to reduce young people’s social access to alcohol, including: shoulder tap programs, party patrols, and public policy </w:t>
      </w:r>
      <w:sdt>
        <w:sdtPr>
          <w:rPr>
            <w:rFonts w:ascii="Arial" w:hAnsi="Arial" w:cs="Arial"/>
            <w:color w:val="000000"/>
            <w:szCs w:val="23"/>
          </w:rPr>
          <w:id w:val="-1775710265"/>
          <w:citation/>
        </w:sdtPr>
        <w:sdtEndPr/>
        <w:sdtContent>
          <w:r w:rsidR="006D1C3E">
            <w:rPr>
              <w:rFonts w:ascii="Arial" w:hAnsi="Arial" w:cs="Arial"/>
              <w:color w:val="000000"/>
              <w:szCs w:val="23"/>
            </w:rPr>
            <w:fldChar w:fldCharType="begin"/>
          </w:r>
          <w:r w:rsidR="006D1C3E">
            <w:rPr>
              <w:rFonts w:ascii="Arial" w:hAnsi="Arial" w:cs="Arial"/>
              <w:color w:val="000000"/>
              <w:szCs w:val="23"/>
            </w:rPr>
            <w:instrText xml:space="preserve"> CITATION Wag13 \l 1033 </w:instrText>
          </w:r>
          <w:r w:rsidR="006D1C3E">
            <w:rPr>
              <w:rFonts w:ascii="Arial" w:hAnsi="Arial" w:cs="Arial"/>
              <w:color w:val="000000"/>
              <w:szCs w:val="23"/>
            </w:rPr>
            <w:fldChar w:fldCharType="separate"/>
          </w:r>
          <w:r w:rsidR="002B4FCC" w:rsidRPr="002B4FCC">
            <w:rPr>
              <w:rFonts w:ascii="Arial" w:hAnsi="Arial" w:cs="Arial"/>
              <w:noProof/>
              <w:color w:val="000000"/>
              <w:szCs w:val="23"/>
            </w:rPr>
            <w:t>(Wagoner, Sparks, Francisco, Wyrick, Nichols, &amp; Wolfson, 2013)</w:t>
          </w:r>
          <w:r w:rsidR="006D1C3E">
            <w:rPr>
              <w:rFonts w:ascii="Arial" w:hAnsi="Arial" w:cs="Arial"/>
              <w:color w:val="000000"/>
              <w:szCs w:val="23"/>
            </w:rPr>
            <w:fldChar w:fldCharType="end"/>
          </w:r>
        </w:sdtContent>
      </w:sdt>
      <w:r w:rsidR="006D1C3E">
        <w:rPr>
          <w:rFonts w:ascii="Arial" w:hAnsi="Arial" w:cs="Arial"/>
          <w:color w:val="000000"/>
          <w:szCs w:val="23"/>
        </w:rPr>
        <w:t xml:space="preserve">.  </w:t>
      </w:r>
      <w:r w:rsidRPr="00827CC0">
        <w:rPr>
          <w:rFonts w:ascii="Arial" w:hAnsi="Arial" w:cs="Arial"/>
          <w:color w:val="000000"/>
          <w:szCs w:val="23"/>
        </w:rPr>
        <w:t>Data for current report of the effectiveness of SH laws was drawn from a study conducted by the Office of Juvenile Justice &amp; Delinquency Prevention, wh</w:t>
      </w:r>
      <w:r w:rsidR="006D1C3E">
        <w:rPr>
          <w:rFonts w:ascii="Arial" w:hAnsi="Arial" w:cs="Arial"/>
          <w:color w:val="000000"/>
          <w:szCs w:val="23"/>
        </w:rPr>
        <w:t>ich examined sixty-eight communities in five</w:t>
      </w:r>
      <w:r w:rsidRPr="00827CC0">
        <w:rPr>
          <w:rFonts w:ascii="Arial" w:hAnsi="Arial" w:cs="Arial"/>
          <w:color w:val="000000"/>
          <w:szCs w:val="23"/>
        </w:rPr>
        <w:t xml:space="preserve"> states. The goal of the OJJDP study was to assess the impact of coalition-based underage drinking prevention initiatives. These communities had a population of between 25,000-200,000 people. Despite findings to the contrary from other researchers</w:t>
      </w:r>
      <w:r w:rsidR="001C2921">
        <w:rPr>
          <w:rFonts w:ascii="Arial" w:hAnsi="Arial" w:cs="Arial"/>
          <w:color w:val="000000"/>
          <w:szCs w:val="23"/>
        </w:rPr>
        <w:t xml:space="preserve"> (Stout, Dills)</w:t>
      </w:r>
      <w:r w:rsidR="006D1C3E">
        <w:rPr>
          <w:rFonts w:ascii="Arial" w:hAnsi="Arial" w:cs="Arial"/>
          <w:color w:val="000000"/>
          <w:szCs w:val="23"/>
        </w:rPr>
        <w:t xml:space="preserve">, </w:t>
      </w:r>
      <w:r w:rsidRPr="00827CC0">
        <w:rPr>
          <w:rFonts w:ascii="Arial" w:hAnsi="Arial" w:cs="Arial"/>
          <w:color w:val="000000"/>
          <w:szCs w:val="23"/>
        </w:rPr>
        <w:t>the current study found that social host laws “are not associated with changing drinking location or decreasing peer drinking group size, heavy episodic drinking, or nonviolent consequences” (p. 47). Interestingly enough, the study found that “youth who were older, White, and lived in upper median family income communities” were more likely to binge drink (though with “nonviolent consequences”) than youth who were younger, non-White, and from lower-income communities (p. 48). Higher SES has been correlated with increased alcohol use, with this relationship mediated by parental drinking behavior. Though Wa</w:t>
      </w:r>
      <w:r w:rsidR="006D1C3E">
        <w:rPr>
          <w:rFonts w:ascii="Arial" w:hAnsi="Arial" w:cs="Arial"/>
          <w:color w:val="000000"/>
          <w:szCs w:val="23"/>
        </w:rPr>
        <w:t xml:space="preserve">goner and other </w:t>
      </w:r>
      <w:proofErr w:type="spellStart"/>
      <w:r w:rsidR="006D1C3E">
        <w:rPr>
          <w:rFonts w:ascii="Arial" w:hAnsi="Arial" w:cs="Arial"/>
          <w:color w:val="000000"/>
          <w:szCs w:val="23"/>
        </w:rPr>
        <w:t>preventionists</w:t>
      </w:r>
      <w:proofErr w:type="spellEnd"/>
      <w:r w:rsidRPr="00827CC0">
        <w:rPr>
          <w:rFonts w:ascii="Arial" w:hAnsi="Arial" w:cs="Arial"/>
          <w:color w:val="000000"/>
          <w:szCs w:val="23"/>
        </w:rPr>
        <w:t xml:space="preserve"> hope that social host laws will have a long-term effect on underage drinking, the author suggests that initial benefits might be limited to “mediating factors” of excessive underage drink</w:t>
      </w:r>
      <w:r w:rsidR="006D1C3E">
        <w:rPr>
          <w:rFonts w:ascii="Arial" w:hAnsi="Arial" w:cs="Arial"/>
          <w:color w:val="000000"/>
          <w:szCs w:val="23"/>
        </w:rPr>
        <w:t>ing, such as drinking location and</w:t>
      </w:r>
      <w:r w:rsidRPr="00827CC0">
        <w:rPr>
          <w:rFonts w:ascii="Arial" w:hAnsi="Arial" w:cs="Arial"/>
          <w:color w:val="000000"/>
          <w:szCs w:val="23"/>
        </w:rPr>
        <w:t xml:space="preserve"> peer group size, and only later with binge drinking. </w:t>
      </w:r>
    </w:p>
    <w:p w14:paraId="6F002DA0" w14:textId="77777777" w:rsidR="002078EE" w:rsidRDefault="002078EE" w:rsidP="00827CC0">
      <w:pPr>
        <w:spacing w:line="276" w:lineRule="auto"/>
        <w:contextualSpacing/>
      </w:pPr>
    </w:p>
    <w:p w14:paraId="103A475D" w14:textId="129FB964" w:rsidR="002078EE" w:rsidRPr="00E27A7E" w:rsidRDefault="002078EE" w:rsidP="002078EE">
      <w:pPr>
        <w:spacing w:line="276" w:lineRule="auto"/>
        <w:contextualSpacing/>
        <w:rPr>
          <w:rStyle w:val="SubtleEmphasis"/>
          <w:i w:val="0"/>
          <w:color w:val="94B6D2" w:themeColor="accent1"/>
          <w:sz w:val="32"/>
          <w:szCs w:val="32"/>
        </w:rPr>
      </w:pPr>
      <w:r>
        <w:rPr>
          <w:b/>
          <w:bCs/>
          <w:color w:val="94B6D2" w:themeColor="accent1"/>
          <w:sz w:val="32"/>
          <w:szCs w:val="32"/>
        </w:rPr>
        <w:t>Information for Key Stakeholders</w:t>
      </w:r>
    </w:p>
    <w:tbl>
      <w:tblPr>
        <w:tblStyle w:val="TableGrid"/>
        <w:tblW w:w="12058" w:type="dxa"/>
        <w:tblLook w:val="04A0" w:firstRow="1" w:lastRow="0" w:firstColumn="1" w:lastColumn="0" w:noHBand="0" w:noVBand="1"/>
      </w:tblPr>
      <w:tblGrid>
        <w:gridCol w:w="6029"/>
        <w:gridCol w:w="6029"/>
      </w:tblGrid>
      <w:tr w:rsidR="001C2921" w:rsidRPr="002078EE" w14:paraId="50DAC57E" w14:textId="77777777" w:rsidTr="001C2921">
        <w:trPr>
          <w:trHeight w:val="1196"/>
        </w:trPr>
        <w:tc>
          <w:tcPr>
            <w:tcW w:w="6029" w:type="dxa"/>
            <w:tcBorders>
              <w:bottom w:val="nil"/>
            </w:tcBorders>
          </w:tcPr>
          <w:p w14:paraId="281F00E3" w14:textId="21813509" w:rsidR="002078EE" w:rsidRPr="001C2921" w:rsidRDefault="006D0442" w:rsidP="006D0442">
            <w:pPr>
              <w:rPr>
                <w:rFonts w:ascii="Arial" w:hAnsi="Arial" w:cs="Arial"/>
                <w:sz w:val="18"/>
              </w:rPr>
            </w:pPr>
            <w:r w:rsidRPr="001C2921">
              <w:rPr>
                <w:rFonts w:ascii="Arial" w:hAnsi="Arial" w:cs="Arial"/>
                <w:color w:val="000000"/>
                <w:sz w:val="18"/>
                <w:szCs w:val="28"/>
              </w:rPr>
              <w:t>Many teenagers report obtaining alcohol from social sources</w:t>
            </w:r>
            <w:r w:rsidRPr="001C2921">
              <w:rPr>
                <w:rFonts w:ascii="Arial" w:hAnsi="Arial" w:cs="Arial"/>
                <w:b/>
                <w:color w:val="000000"/>
                <w:sz w:val="18"/>
                <w:szCs w:val="28"/>
              </w:rPr>
              <w:t xml:space="preserve">. According to a study by the American Medical Association, one-third of teens aged 13-18 are able to obtain alcohol from their parents. </w:t>
            </w:r>
            <w:r w:rsidRPr="001C2921">
              <w:rPr>
                <w:rFonts w:ascii="Arial" w:hAnsi="Arial" w:cs="Arial"/>
                <w:color w:val="000000"/>
                <w:sz w:val="18"/>
                <w:szCs w:val="28"/>
              </w:rPr>
              <w:t xml:space="preserve">Another study found that almost 60% of high school students reported being able to consume alcohol at parties. The goal of SHO then, is to deter underage drinking at parties. </w:t>
            </w:r>
          </w:p>
        </w:tc>
        <w:tc>
          <w:tcPr>
            <w:tcW w:w="6029" w:type="dxa"/>
            <w:tcBorders>
              <w:bottom w:val="nil"/>
            </w:tcBorders>
          </w:tcPr>
          <w:p w14:paraId="4871CD38" w14:textId="269EF084" w:rsidR="002078EE" w:rsidRPr="001C2921" w:rsidRDefault="001C2921" w:rsidP="007114D6">
            <w:pPr>
              <w:rPr>
                <w:rFonts w:ascii="Arial" w:hAnsi="Arial" w:cs="Arial"/>
                <w:sz w:val="18"/>
              </w:rPr>
            </w:pPr>
            <w:r>
              <w:rPr>
                <w:rFonts w:ascii="Arial" w:hAnsi="Arial" w:cs="Arial"/>
                <w:b/>
                <w:color w:val="000000"/>
                <w:sz w:val="18"/>
                <w:szCs w:val="28"/>
              </w:rPr>
              <w:t>According to one researcher</w:t>
            </w:r>
            <w:r w:rsidR="007114D6" w:rsidRPr="001C2921">
              <w:rPr>
                <w:rFonts w:ascii="Arial" w:hAnsi="Arial" w:cs="Arial"/>
                <w:b/>
                <w:color w:val="000000"/>
                <w:sz w:val="18"/>
                <w:szCs w:val="28"/>
              </w:rPr>
              <w:t xml:space="preserve">, states that employ SHO or SHLM were likely to be successful in reducing underage drinking, over time. </w:t>
            </w:r>
            <w:r w:rsidR="007114D6" w:rsidRPr="001C2921">
              <w:rPr>
                <w:rFonts w:ascii="Arial" w:hAnsi="Arial" w:cs="Arial"/>
                <w:color w:val="000000"/>
                <w:sz w:val="18"/>
                <w:szCs w:val="28"/>
              </w:rPr>
              <w:t xml:space="preserve">People living in states with SHO or SHLM reported “fewer heavy drinking episodes and drinking &amp; driving behavior.”  </w:t>
            </w:r>
          </w:p>
        </w:tc>
      </w:tr>
      <w:tr w:rsidR="001C2921" w:rsidRPr="002078EE" w14:paraId="6F3C5E3E" w14:textId="77777777" w:rsidTr="001C2921">
        <w:trPr>
          <w:trHeight w:val="413"/>
        </w:trPr>
        <w:tc>
          <w:tcPr>
            <w:tcW w:w="6029" w:type="dxa"/>
            <w:tcBorders>
              <w:top w:val="nil"/>
            </w:tcBorders>
          </w:tcPr>
          <w:p w14:paraId="73D75F0B" w14:textId="3496C740" w:rsidR="002078EE" w:rsidRPr="001C2921" w:rsidRDefault="002078EE" w:rsidP="001C2921">
            <w:pPr>
              <w:rPr>
                <w:rFonts w:ascii="Arial" w:hAnsi="Arial" w:cs="Arial"/>
                <w:sz w:val="18"/>
              </w:rPr>
            </w:pPr>
            <w:r w:rsidRPr="001C2921">
              <w:rPr>
                <w:rFonts w:ascii="Arial" w:hAnsi="Arial" w:cs="Arial"/>
                <w:color w:val="000000"/>
                <w:sz w:val="18"/>
                <w:szCs w:val="28"/>
              </w:rPr>
              <w:t>Source:</w:t>
            </w:r>
            <w:r w:rsidR="006D0442" w:rsidRPr="001C2921">
              <w:rPr>
                <w:rFonts w:ascii="Arial" w:hAnsi="Arial" w:cs="Arial"/>
                <w:color w:val="000000"/>
                <w:sz w:val="18"/>
                <w:szCs w:val="28"/>
              </w:rPr>
              <w:t xml:space="preserve"> </w:t>
            </w:r>
            <w:sdt>
              <w:sdtPr>
                <w:rPr>
                  <w:rFonts w:ascii="Arial" w:hAnsi="Arial" w:cs="Arial"/>
                  <w:color w:val="000000"/>
                  <w:sz w:val="18"/>
                  <w:szCs w:val="28"/>
                </w:rPr>
                <w:id w:val="-1056246726"/>
                <w:citation/>
              </w:sdtPr>
              <w:sdtEndPr/>
              <w:sdtContent>
                <w:r w:rsidR="001C2921">
                  <w:rPr>
                    <w:rFonts w:ascii="Arial" w:hAnsi="Arial" w:cs="Arial"/>
                    <w:color w:val="000000"/>
                    <w:sz w:val="18"/>
                    <w:szCs w:val="28"/>
                  </w:rPr>
                  <w:fldChar w:fldCharType="begin"/>
                </w:r>
                <w:r w:rsidR="001C2921">
                  <w:rPr>
                    <w:rFonts w:ascii="Arial" w:hAnsi="Arial" w:cs="Arial"/>
                    <w:color w:val="000000"/>
                    <w:sz w:val="18"/>
                    <w:szCs w:val="28"/>
                  </w:rPr>
                  <w:instrText xml:space="preserve"> CITATION Wag12 \l 1033 </w:instrText>
                </w:r>
                <w:r w:rsidR="001C2921">
                  <w:rPr>
                    <w:rFonts w:ascii="Arial" w:hAnsi="Arial" w:cs="Arial"/>
                    <w:color w:val="000000"/>
                    <w:sz w:val="18"/>
                    <w:szCs w:val="28"/>
                  </w:rPr>
                  <w:fldChar w:fldCharType="separate"/>
                </w:r>
                <w:r w:rsidR="002B4FCC" w:rsidRPr="002B4FCC">
                  <w:rPr>
                    <w:rFonts w:ascii="Arial" w:hAnsi="Arial" w:cs="Arial"/>
                    <w:noProof/>
                    <w:color w:val="000000"/>
                    <w:sz w:val="18"/>
                    <w:szCs w:val="28"/>
                  </w:rPr>
                  <w:t>(Wagoner, Francisco, Sparks, Wyrick, Nichols, &amp; Wolfson, 2012)</w:t>
                </w:r>
                <w:r w:rsidR="001C2921">
                  <w:rPr>
                    <w:rFonts w:ascii="Arial" w:hAnsi="Arial" w:cs="Arial"/>
                    <w:color w:val="000000"/>
                    <w:sz w:val="18"/>
                    <w:szCs w:val="28"/>
                  </w:rPr>
                  <w:fldChar w:fldCharType="end"/>
                </w:r>
              </w:sdtContent>
            </w:sdt>
          </w:p>
        </w:tc>
        <w:tc>
          <w:tcPr>
            <w:tcW w:w="6029" w:type="dxa"/>
            <w:tcBorders>
              <w:top w:val="nil"/>
            </w:tcBorders>
          </w:tcPr>
          <w:p w14:paraId="286614E5" w14:textId="549537AB" w:rsidR="002078EE" w:rsidRPr="001C2921" w:rsidRDefault="002078EE" w:rsidP="001C2921">
            <w:pPr>
              <w:rPr>
                <w:rFonts w:ascii="Arial" w:hAnsi="Arial" w:cs="Arial"/>
                <w:sz w:val="18"/>
              </w:rPr>
            </w:pPr>
            <w:r w:rsidRPr="001C2921">
              <w:rPr>
                <w:rFonts w:ascii="Arial" w:hAnsi="Arial" w:cs="Arial"/>
                <w:color w:val="000000"/>
                <w:sz w:val="18"/>
                <w:szCs w:val="28"/>
              </w:rPr>
              <w:t>Source:</w:t>
            </w:r>
            <w:r w:rsidR="007114D6" w:rsidRPr="001C2921">
              <w:rPr>
                <w:rFonts w:ascii="Arial" w:hAnsi="Arial" w:cs="Arial"/>
                <w:color w:val="000000"/>
                <w:sz w:val="18"/>
                <w:szCs w:val="28"/>
              </w:rPr>
              <w:t xml:space="preserve"> </w:t>
            </w:r>
            <w:sdt>
              <w:sdtPr>
                <w:rPr>
                  <w:rFonts w:ascii="Arial" w:hAnsi="Arial" w:cs="Arial"/>
                  <w:color w:val="000000"/>
                  <w:sz w:val="18"/>
                  <w:szCs w:val="28"/>
                </w:rPr>
                <w:id w:val="1165831312"/>
                <w:citation/>
              </w:sdtPr>
              <w:sdtEndPr/>
              <w:sdtContent>
                <w:r w:rsidR="001C2921">
                  <w:rPr>
                    <w:rFonts w:ascii="Arial" w:hAnsi="Arial" w:cs="Arial"/>
                    <w:color w:val="000000"/>
                    <w:sz w:val="18"/>
                    <w:szCs w:val="28"/>
                  </w:rPr>
                  <w:fldChar w:fldCharType="begin"/>
                </w:r>
                <w:r w:rsidR="001C2921">
                  <w:rPr>
                    <w:rFonts w:ascii="Arial" w:hAnsi="Arial" w:cs="Arial"/>
                    <w:color w:val="000000"/>
                    <w:sz w:val="18"/>
                    <w:szCs w:val="28"/>
                  </w:rPr>
                  <w:instrText xml:space="preserve"> CITATION Sto00 \l 1033 </w:instrText>
                </w:r>
                <w:r w:rsidR="001C2921">
                  <w:rPr>
                    <w:rFonts w:ascii="Arial" w:hAnsi="Arial" w:cs="Arial"/>
                    <w:color w:val="000000"/>
                    <w:sz w:val="18"/>
                    <w:szCs w:val="28"/>
                  </w:rPr>
                  <w:fldChar w:fldCharType="separate"/>
                </w:r>
                <w:r w:rsidR="002B4FCC" w:rsidRPr="002B4FCC">
                  <w:rPr>
                    <w:rFonts w:ascii="Arial" w:hAnsi="Arial" w:cs="Arial"/>
                    <w:noProof/>
                    <w:color w:val="000000"/>
                    <w:sz w:val="18"/>
                    <w:szCs w:val="28"/>
                  </w:rPr>
                  <w:t>(Stout, Sloan, Liang, &amp; Davies, 2000)</w:t>
                </w:r>
                <w:r w:rsidR="001C2921">
                  <w:rPr>
                    <w:rFonts w:ascii="Arial" w:hAnsi="Arial" w:cs="Arial"/>
                    <w:color w:val="000000"/>
                    <w:sz w:val="18"/>
                    <w:szCs w:val="28"/>
                  </w:rPr>
                  <w:fldChar w:fldCharType="end"/>
                </w:r>
              </w:sdtContent>
            </w:sdt>
          </w:p>
        </w:tc>
      </w:tr>
      <w:tr w:rsidR="001C2921" w:rsidRPr="002078EE" w14:paraId="762A6D39" w14:textId="77777777" w:rsidTr="001C2921">
        <w:trPr>
          <w:trHeight w:val="1497"/>
        </w:trPr>
        <w:tc>
          <w:tcPr>
            <w:tcW w:w="6029" w:type="dxa"/>
            <w:tcBorders>
              <w:bottom w:val="nil"/>
            </w:tcBorders>
          </w:tcPr>
          <w:p w14:paraId="4B9BFACC" w14:textId="61E59E48" w:rsidR="002078EE" w:rsidRPr="001C2921" w:rsidRDefault="00AB5A92" w:rsidP="006D0BA6">
            <w:pPr>
              <w:rPr>
                <w:rFonts w:ascii="Arial" w:hAnsi="Arial" w:cs="Arial"/>
                <w:sz w:val="18"/>
              </w:rPr>
            </w:pPr>
            <w:r w:rsidRPr="001C2921">
              <w:rPr>
                <w:rFonts w:ascii="Arial" w:hAnsi="Arial" w:cs="Arial"/>
                <w:b/>
                <w:color w:val="000000"/>
                <w:sz w:val="18"/>
                <w:szCs w:val="28"/>
              </w:rPr>
              <w:t xml:space="preserve">Social host laws for minors were found to reduce </w:t>
            </w:r>
            <w:proofErr w:type="gramStart"/>
            <w:r w:rsidRPr="001C2921">
              <w:rPr>
                <w:rFonts w:ascii="Arial" w:hAnsi="Arial" w:cs="Arial"/>
                <w:b/>
                <w:color w:val="000000"/>
                <w:sz w:val="18"/>
                <w:szCs w:val="28"/>
              </w:rPr>
              <w:t>drunk</w:t>
            </w:r>
            <w:proofErr w:type="gramEnd"/>
            <w:r w:rsidRPr="001C2921">
              <w:rPr>
                <w:rFonts w:ascii="Arial" w:hAnsi="Arial" w:cs="Arial"/>
                <w:b/>
                <w:color w:val="000000"/>
                <w:sz w:val="18"/>
                <w:szCs w:val="28"/>
              </w:rPr>
              <w:t xml:space="preserve"> driving fatalities by 9 percent. </w:t>
            </w:r>
            <w:r w:rsidR="006D0BA6" w:rsidRPr="001C2921">
              <w:rPr>
                <w:rFonts w:ascii="Arial" w:hAnsi="Arial" w:cs="Arial"/>
                <w:color w:val="000000"/>
                <w:sz w:val="18"/>
                <w:szCs w:val="28"/>
              </w:rPr>
              <w:t xml:space="preserve">These laws appear to work by “inducing adults supervising alcohol consumption to pressure underage drinkers not to drive.” </w:t>
            </w:r>
          </w:p>
        </w:tc>
        <w:tc>
          <w:tcPr>
            <w:tcW w:w="6029" w:type="dxa"/>
            <w:tcBorders>
              <w:bottom w:val="nil"/>
            </w:tcBorders>
          </w:tcPr>
          <w:p w14:paraId="39F13927" w14:textId="71FCA956" w:rsidR="002078EE" w:rsidRPr="001C2921" w:rsidRDefault="001E5B4D" w:rsidP="001E5B4D">
            <w:pPr>
              <w:rPr>
                <w:rFonts w:ascii="Arial" w:hAnsi="Arial" w:cs="Arial"/>
                <w:b/>
                <w:sz w:val="18"/>
              </w:rPr>
            </w:pPr>
            <w:r w:rsidRPr="001C2921">
              <w:rPr>
                <w:rFonts w:ascii="Arial" w:hAnsi="Arial" w:cs="Arial"/>
                <w:color w:val="000000"/>
                <w:sz w:val="18"/>
                <w:szCs w:val="28"/>
              </w:rPr>
              <w:t xml:space="preserve">While social host ordinances and social host laws for minors can be effective at reducing the negative consequences of underage drinking, changing social norms and attitudes around alcohol use and abuse can be envisioned as a series of incremental steps. </w:t>
            </w:r>
            <w:r w:rsidRPr="001C2921">
              <w:rPr>
                <w:rFonts w:ascii="Arial" w:hAnsi="Arial" w:cs="Arial"/>
                <w:b/>
                <w:color w:val="000000"/>
                <w:sz w:val="18"/>
                <w:szCs w:val="28"/>
              </w:rPr>
              <w:t xml:space="preserve">The initial benefits of SHO &amp; SHLM may be limited to the “mediating factors” of excessive underage drinking (group size or drinking location) and later with binge drinking. </w:t>
            </w:r>
          </w:p>
        </w:tc>
      </w:tr>
      <w:tr w:rsidR="001C2921" w:rsidRPr="002078EE" w14:paraId="55E1AF57" w14:textId="77777777" w:rsidTr="001C2921">
        <w:trPr>
          <w:trHeight w:val="75"/>
        </w:trPr>
        <w:tc>
          <w:tcPr>
            <w:tcW w:w="6029" w:type="dxa"/>
            <w:tcBorders>
              <w:top w:val="nil"/>
            </w:tcBorders>
          </w:tcPr>
          <w:p w14:paraId="54AD1EAA" w14:textId="0DFB0E2C" w:rsidR="002078EE" w:rsidRPr="001C2921" w:rsidRDefault="002078EE" w:rsidP="001C2921">
            <w:pPr>
              <w:rPr>
                <w:rFonts w:ascii="Arial" w:hAnsi="Arial" w:cs="Arial"/>
                <w:sz w:val="18"/>
              </w:rPr>
            </w:pPr>
            <w:r w:rsidRPr="001C2921">
              <w:rPr>
                <w:rFonts w:ascii="Arial" w:hAnsi="Arial" w:cs="Arial"/>
                <w:color w:val="000000"/>
                <w:sz w:val="18"/>
                <w:szCs w:val="28"/>
              </w:rPr>
              <w:t>Source:</w:t>
            </w:r>
            <w:r w:rsidR="006D0BA6" w:rsidRPr="001C2921">
              <w:rPr>
                <w:rFonts w:ascii="Arial" w:hAnsi="Arial" w:cs="Arial"/>
                <w:color w:val="000000"/>
                <w:sz w:val="18"/>
                <w:szCs w:val="28"/>
              </w:rPr>
              <w:t xml:space="preserve"> </w:t>
            </w:r>
            <w:sdt>
              <w:sdtPr>
                <w:rPr>
                  <w:rFonts w:ascii="Arial" w:hAnsi="Arial" w:cs="Arial"/>
                  <w:color w:val="000000"/>
                  <w:sz w:val="18"/>
                  <w:szCs w:val="28"/>
                </w:rPr>
                <w:id w:val="1991449221"/>
                <w:citation/>
              </w:sdtPr>
              <w:sdtEndPr/>
              <w:sdtContent>
                <w:r w:rsidR="001C2921">
                  <w:rPr>
                    <w:rFonts w:ascii="Arial" w:hAnsi="Arial" w:cs="Arial"/>
                    <w:color w:val="000000"/>
                    <w:sz w:val="18"/>
                    <w:szCs w:val="28"/>
                  </w:rPr>
                  <w:fldChar w:fldCharType="begin"/>
                </w:r>
                <w:r w:rsidR="001C2921">
                  <w:rPr>
                    <w:rFonts w:ascii="Arial" w:hAnsi="Arial" w:cs="Arial"/>
                    <w:color w:val="000000"/>
                    <w:sz w:val="18"/>
                    <w:szCs w:val="28"/>
                  </w:rPr>
                  <w:instrText xml:space="preserve"> CITATION Dil10 \l 1033 </w:instrText>
                </w:r>
                <w:r w:rsidR="001C2921">
                  <w:rPr>
                    <w:rFonts w:ascii="Arial" w:hAnsi="Arial" w:cs="Arial"/>
                    <w:color w:val="000000"/>
                    <w:sz w:val="18"/>
                    <w:szCs w:val="28"/>
                  </w:rPr>
                  <w:fldChar w:fldCharType="separate"/>
                </w:r>
                <w:r w:rsidR="002B4FCC" w:rsidRPr="002B4FCC">
                  <w:rPr>
                    <w:rFonts w:ascii="Arial" w:hAnsi="Arial" w:cs="Arial"/>
                    <w:noProof/>
                    <w:color w:val="000000"/>
                    <w:sz w:val="18"/>
                    <w:szCs w:val="28"/>
                  </w:rPr>
                  <w:t>(Dills, 2010)</w:t>
                </w:r>
                <w:r w:rsidR="001C2921">
                  <w:rPr>
                    <w:rFonts w:ascii="Arial" w:hAnsi="Arial" w:cs="Arial"/>
                    <w:color w:val="000000"/>
                    <w:sz w:val="18"/>
                    <w:szCs w:val="28"/>
                  </w:rPr>
                  <w:fldChar w:fldCharType="end"/>
                </w:r>
              </w:sdtContent>
            </w:sdt>
          </w:p>
        </w:tc>
        <w:tc>
          <w:tcPr>
            <w:tcW w:w="6029" w:type="dxa"/>
            <w:tcBorders>
              <w:top w:val="nil"/>
            </w:tcBorders>
          </w:tcPr>
          <w:p w14:paraId="107E3C73" w14:textId="2CFA7A5C" w:rsidR="002078EE" w:rsidRPr="001C2921" w:rsidRDefault="002078EE" w:rsidP="001C2921">
            <w:pPr>
              <w:rPr>
                <w:rFonts w:ascii="Arial" w:hAnsi="Arial" w:cs="Arial"/>
                <w:sz w:val="18"/>
              </w:rPr>
            </w:pPr>
            <w:r w:rsidRPr="001C2921">
              <w:rPr>
                <w:rFonts w:ascii="Arial" w:hAnsi="Arial" w:cs="Arial"/>
                <w:color w:val="000000"/>
                <w:sz w:val="18"/>
                <w:szCs w:val="28"/>
              </w:rPr>
              <w:t xml:space="preserve">Source: </w:t>
            </w:r>
            <w:sdt>
              <w:sdtPr>
                <w:rPr>
                  <w:rFonts w:ascii="Arial" w:hAnsi="Arial" w:cs="Arial"/>
                  <w:color w:val="000000"/>
                  <w:sz w:val="18"/>
                  <w:szCs w:val="28"/>
                </w:rPr>
                <w:id w:val="-451475501"/>
                <w:citation/>
              </w:sdtPr>
              <w:sdtEndPr/>
              <w:sdtContent>
                <w:r w:rsidR="001C2921">
                  <w:rPr>
                    <w:rFonts w:ascii="Arial" w:hAnsi="Arial" w:cs="Arial"/>
                    <w:color w:val="000000"/>
                    <w:sz w:val="18"/>
                    <w:szCs w:val="28"/>
                  </w:rPr>
                  <w:fldChar w:fldCharType="begin"/>
                </w:r>
                <w:r w:rsidR="001C2921">
                  <w:rPr>
                    <w:rFonts w:ascii="Arial" w:hAnsi="Arial" w:cs="Arial"/>
                    <w:color w:val="000000"/>
                    <w:sz w:val="18"/>
                    <w:szCs w:val="28"/>
                  </w:rPr>
                  <w:instrText xml:space="preserve"> CITATION Wag13 \l 1033 </w:instrText>
                </w:r>
                <w:r w:rsidR="001C2921">
                  <w:rPr>
                    <w:rFonts w:ascii="Arial" w:hAnsi="Arial" w:cs="Arial"/>
                    <w:color w:val="000000"/>
                    <w:sz w:val="18"/>
                    <w:szCs w:val="28"/>
                  </w:rPr>
                  <w:fldChar w:fldCharType="separate"/>
                </w:r>
                <w:r w:rsidR="002B4FCC" w:rsidRPr="002B4FCC">
                  <w:rPr>
                    <w:rFonts w:ascii="Arial" w:hAnsi="Arial" w:cs="Arial"/>
                    <w:noProof/>
                    <w:color w:val="000000"/>
                    <w:sz w:val="18"/>
                    <w:szCs w:val="28"/>
                  </w:rPr>
                  <w:t>(Wagoner, Sparks, Francisco, Wyrick, Nichols, &amp; Wolfson, 2013)</w:t>
                </w:r>
                <w:r w:rsidR="001C2921">
                  <w:rPr>
                    <w:rFonts w:ascii="Arial" w:hAnsi="Arial" w:cs="Arial"/>
                    <w:color w:val="000000"/>
                    <w:sz w:val="18"/>
                    <w:szCs w:val="28"/>
                  </w:rPr>
                  <w:fldChar w:fldCharType="end"/>
                </w:r>
              </w:sdtContent>
            </w:sdt>
          </w:p>
        </w:tc>
      </w:tr>
    </w:tbl>
    <w:p w14:paraId="576B4525" w14:textId="77777777" w:rsidR="002078EE" w:rsidRDefault="002078EE" w:rsidP="00827CC0">
      <w:pPr>
        <w:pStyle w:val="Heading2"/>
        <w:spacing w:line="276" w:lineRule="auto"/>
        <w:contextualSpacing/>
        <w:rPr>
          <w:sz w:val="32"/>
        </w:rPr>
      </w:pPr>
    </w:p>
    <w:p w14:paraId="01D0389D" w14:textId="77777777" w:rsidR="00ED1C3F" w:rsidRPr="0012261C" w:rsidRDefault="00ED1C3F" w:rsidP="00827CC0">
      <w:pPr>
        <w:pStyle w:val="Heading2"/>
        <w:spacing w:line="276" w:lineRule="auto"/>
        <w:contextualSpacing/>
        <w:rPr>
          <w:sz w:val="32"/>
        </w:rPr>
      </w:pPr>
      <w:r>
        <w:rPr>
          <w:sz w:val="32"/>
        </w:rPr>
        <w:t>Author Information</w:t>
      </w:r>
    </w:p>
    <w:p w14:paraId="1B474B0F" w14:textId="73A58DE5" w:rsidR="001D144B" w:rsidRPr="00827CC0" w:rsidRDefault="00ED1C3F" w:rsidP="00827CC0">
      <w:pPr>
        <w:spacing w:line="276" w:lineRule="auto"/>
        <w:contextualSpacing/>
        <w:rPr>
          <w:rFonts w:ascii="Arial" w:hAnsi="Arial" w:cs="Arial"/>
          <w:color w:val="000000"/>
          <w:szCs w:val="23"/>
        </w:rPr>
      </w:pPr>
      <w:r w:rsidRPr="00827CC0">
        <w:rPr>
          <w:rFonts w:ascii="Arial" w:hAnsi="Arial" w:cs="Arial"/>
          <w:color w:val="000000"/>
          <w:szCs w:val="23"/>
        </w:rPr>
        <w:t xml:space="preserve">Benjamin Gleason is the Director of Applied Research for the Prospectus Group. He is a PhD candidate in Educational Psychology &amp; Educational Technology at Michigan State University, researching how to best support communities of learners through educational technology. Before academia, Benjamin has worked in youth-serving learning spaces for almost fifteen years, from </w:t>
      </w:r>
      <w:r w:rsidR="007114D6">
        <w:rPr>
          <w:rFonts w:ascii="Arial" w:hAnsi="Arial" w:cs="Arial"/>
          <w:color w:val="000000"/>
          <w:szCs w:val="23"/>
        </w:rPr>
        <w:t xml:space="preserve">designing youth-initiated community service projects </w:t>
      </w:r>
      <w:r w:rsidRPr="00827CC0">
        <w:rPr>
          <w:rFonts w:ascii="Arial" w:hAnsi="Arial" w:cs="Arial"/>
          <w:color w:val="000000"/>
          <w:szCs w:val="23"/>
        </w:rPr>
        <w:t>and teaching high school in Richmond, California, to working as a university instructor in Guatemala. Benjamin is also a founder of the Prospectus Group.</w:t>
      </w:r>
    </w:p>
    <w:p w14:paraId="2A533DBA" w14:textId="77777777" w:rsidR="001D144B" w:rsidRDefault="001D144B" w:rsidP="00827CC0">
      <w:pPr>
        <w:spacing w:line="276" w:lineRule="auto"/>
        <w:ind w:firstLine="720"/>
        <w:contextualSpacing/>
        <w:rPr>
          <w:rFonts w:ascii="Candara" w:hAnsi="Candara"/>
          <w:color w:val="000000"/>
          <w:szCs w:val="23"/>
        </w:rPr>
      </w:pPr>
    </w:p>
    <w:p w14:paraId="5673DAB1" w14:textId="77777777" w:rsidR="001D144B" w:rsidRDefault="001D144B" w:rsidP="00827CC0">
      <w:pPr>
        <w:spacing w:line="276" w:lineRule="auto"/>
        <w:ind w:firstLine="720"/>
        <w:contextualSpacing/>
        <w:rPr>
          <w:rFonts w:ascii="Candara" w:hAnsi="Candara"/>
          <w:color w:val="000000"/>
          <w:szCs w:val="23"/>
        </w:rPr>
      </w:pPr>
    </w:p>
    <w:p w14:paraId="35999523" w14:textId="77777777" w:rsidR="001D144B" w:rsidRDefault="001D144B" w:rsidP="00827CC0">
      <w:pPr>
        <w:spacing w:line="276" w:lineRule="auto"/>
        <w:ind w:firstLine="720"/>
        <w:contextualSpacing/>
        <w:rPr>
          <w:rFonts w:ascii="Candara" w:hAnsi="Candara"/>
          <w:color w:val="000000"/>
          <w:szCs w:val="23"/>
        </w:rPr>
      </w:pPr>
    </w:p>
    <w:p w14:paraId="29E85CAC" w14:textId="77777777" w:rsidR="005D377B" w:rsidRDefault="005D377B" w:rsidP="00827CC0">
      <w:pPr>
        <w:spacing w:line="276" w:lineRule="auto"/>
        <w:ind w:firstLine="720"/>
        <w:contextualSpacing/>
        <w:rPr>
          <w:rFonts w:ascii="Candara" w:hAnsi="Candara"/>
          <w:color w:val="000000"/>
          <w:szCs w:val="23"/>
        </w:rPr>
      </w:pPr>
    </w:p>
    <w:p w14:paraId="52380AAD" w14:textId="77777777" w:rsidR="005D377B" w:rsidRDefault="005D377B" w:rsidP="00827CC0">
      <w:pPr>
        <w:spacing w:line="276" w:lineRule="auto"/>
        <w:ind w:firstLine="720"/>
        <w:contextualSpacing/>
        <w:rPr>
          <w:rFonts w:ascii="Candara" w:hAnsi="Candara"/>
          <w:color w:val="000000"/>
          <w:szCs w:val="23"/>
        </w:rPr>
      </w:pPr>
    </w:p>
    <w:p w14:paraId="49ECEF1C" w14:textId="77777777" w:rsidR="002C5565" w:rsidRDefault="002C5565" w:rsidP="00827CC0">
      <w:pPr>
        <w:spacing w:line="276" w:lineRule="auto"/>
        <w:ind w:firstLine="720"/>
        <w:contextualSpacing/>
        <w:rPr>
          <w:rFonts w:ascii="Candara" w:hAnsi="Candara"/>
          <w:color w:val="000000"/>
          <w:szCs w:val="23"/>
        </w:rPr>
      </w:pPr>
    </w:p>
    <w:p w14:paraId="219DEF1F" w14:textId="77777777" w:rsidR="002C5565" w:rsidRDefault="002C5565" w:rsidP="00827CC0">
      <w:pPr>
        <w:spacing w:line="276" w:lineRule="auto"/>
        <w:ind w:firstLine="720"/>
        <w:contextualSpacing/>
        <w:rPr>
          <w:rFonts w:ascii="Candara" w:hAnsi="Candara"/>
          <w:color w:val="000000"/>
          <w:szCs w:val="23"/>
        </w:rPr>
      </w:pPr>
    </w:p>
    <w:p w14:paraId="42EB4BF5" w14:textId="77777777" w:rsidR="002C5565" w:rsidRDefault="002C5565" w:rsidP="00827CC0">
      <w:pPr>
        <w:spacing w:line="276" w:lineRule="auto"/>
        <w:ind w:firstLine="720"/>
        <w:contextualSpacing/>
        <w:rPr>
          <w:rFonts w:ascii="Candara" w:hAnsi="Candara"/>
          <w:color w:val="000000"/>
          <w:szCs w:val="23"/>
        </w:rPr>
      </w:pPr>
    </w:p>
    <w:p w14:paraId="57CDCBB9" w14:textId="77777777" w:rsidR="002C5565" w:rsidRDefault="002C5565" w:rsidP="00827CC0">
      <w:pPr>
        <w:spacing w:line="276" w:lineRule="auto"/>
        <w:ind w:firstLine="720"/>
        <w:contextualSpacing/>
        <w:rPr>
          <w:rFonts w:ascii="Candara" w:hAnsi="Candara"/>
          <w:color w:val="000000"/>
          <w:szCs w:val="23"/>
        </w:rPr>
      </w:pPr>
    </w:p>
    <w:p w14:paraId="0D0D4A42" w14:textId="77777777" w:rsidR="002C5565" w:rsidRDefault="002C5565" w:rsidP="00827CC0">
      <w:pPr>
        <w:spacing w:line="276" w:lineRule="auto"/>
        <w:ind w:firstLine="720"/>
        <w:contextualSpacing/>
        <w:rPr>
          <w:rFonts w:ascii="Candara" w:hAnsi="Candara"/>
          <w:color w:val="000000"/>
          <w:szCs w:val="23"/>
        </w:rPr>
      </w:pPr>
    </w:p>
    <w:p w14:paraId="51E6757B" w14:textId="77777777" w:rsidR="002C5565" w:rsidRDefault="002C5565" w:rsidP="00827CC0">
      <w:pPr>
        <w:spacing w:line="276" w:lineRule="auto"/>
        <w:ind w:firstLine="720"/>
        <w:contextualSpacing/>
        <w:rPr>
          <w:rFonts w:ascii="Candara" w:hAnsi="Candara"/>
          <w:color w:val="000000"/>
          <w:szCs w:val="23"/>
        </w:rPr>
      </w:pPr>
    </w:p>
    <w:p w14:paraId="1135CFAB" w14:textId="77777777" w:rsidR="002C5565" w:rsidRDefault="002C5565" w:rsidP="00827CC0">
      <w:pPr>
        <w:spacing w:line="276" w:lineRule="auto"/>
        <w:ind w:firstLine="720"/>
        <w:contextualSpacing/>
        <w:rPr>
          <w:rFonts w:ascii="Candara" w:hAnsi="Candara"/>
          <w:color w:val="000000"/>
          <w:szCs w:val="23"/>
        </w:rPr>
      </w:pPr>
    </w:p>
    <w:p w14:paraId="586CA0BF" w14:textId="77777777" w:rsidR="002C5565" w:rsidRDefault="002C5565" w:rsidP="00827CC0">
      <w:pPr>
        <w:spacing w:line="276" w:lineRule="auto"/>
        <w:ind w:firstLine="720"/>
        <w:contextualSpacing/>
        <w:rPr>
          <w:rFonts w:ascii="Candara" w:hAnsi="Candara"/>
          <w:color w:val="000000"/>
          <w:szCs w:val="23"/>
        </w:rPr>
      </w:pPr>
    </w:p>
    <w:p w14:paraId="5A5FA01E" w14:textId="77777777" w:rsidR="002C5565" w:rsidRDefault="002C5565" w:rsidP="00827CC0">
      <w:pPr>
        <w:spacing w:line="276" w:lineRule="auto"/>
        <w:ind w:firstLine="720"/>
        <w:contextualSpacing/>
        <w:rPr>
          <w:rFonts w:ascii="Candara" w:hAnsi="Candara"/>
          <w:color w:val="000000"/>
          <w:szCs w:val="23"/>
        </w:rPr>
      </w:pPr>
    </w:p>
    <w:p w14:paraId="218E8BD9" w14:textId="77777777" w:rsidR="002C5565" w:rsidRDefault="002C5565" w:rsidP="00827CC0">
      <w:pPr>
        <w:spacing w:line="276" w:lineRule="auto"/>
        <w:ind w:firstLine="720"/>
        <w:contextualSpacing/>
        <w:rPr>
          <w:rFonts w:ascii="Candara" w:hAnsi="Candara"/>
          <w:color w:val="000000"/>
          <w:szCs w:val="23"/>
        </w:rPr>
      </w:pPr>
    </w:p>
    <w:p w14:paraId="7497BB5A" w14:textId="77777777" w:rsidR="002C5565" w:rsidRDefault="002C5565" w:rsidP="00827CC0">
      <w:pPr>
        <w:spacing w:line="276" w:lineRule="auto"/>
        <w:ind w:firstLine="720"/>
        <w:contextualSpacing/>
        <w:rPr>
          <w:rFonts w:ascii="Candara" w:hAnsi="Candara"/>
          <w:color w:val="000000"/>
          <w:szCs w:val="23"/>
        </w:rPr>
      </w:pPr>
    </w:p>
    <w:p w14:paraId="39AF4583" w14:textId="22A58D39" w:rsidR="000F3361" w:rsidRDefault="000F3361" w:rsidP="00827CC0">
      <w:pPr>
        <w:spacing w:line="276" w:lineRule="auto"/>
        <w:ind w:firstLine="720"/>
        <w:contextualSpacing/>
        <w:rPr>
          <w:rFonts w:ascii="Candara" w:hAnsi="Candara"/>
          <w:color w:val="000000"/>
          <w:szCs w:val="23"/>
        </w:rPr>
      </w:pPr>
    </w:p>
    <w:p w14:paraId="7BFB5C62" w14:textId="77777777" w:rsidR="002C5565" w:rsidRDefault="002C5565" w:rsidP="00827CC0">
      <w:pPr>
        <w:spacing w:line="276" w:lineRule="auto"/>
        <w:ind w:firstLine="720"/>
        <w:contextualSpacing/>
        <w:rPr>
          <w:rFonts w:ascii="Candara" w:hAnsi="Candara"/>
          <w:color w:val="000000"/>
          <w:szCs w:val="23"/>
        </w:rPr>
      </w:pPr>
    </w:p>
    <w:p w14:paraId="751422FE" w14:textId="77777777" w:rsidR="002C5565" w:rsidRDefault="002C5565" w:rsidP="00827CC0">
      <w:pPr>
        <w:spacing w:line="276" w:lineRule="auto"/>
        <w:ind w:firstLine="720"/>
        <w:contextualSpacing/>
        <w:rPr>
          <w:rFonts w:ascii="Candara" w:hAnsi="Candara"/>
          <w:color w:val="000000"/>
          <w:szCs w:val="23"/>
        </w:rPr>
      </w:pPr>
    </w:p>
    <w:p w14:paraId="208F732B" w14:textId="77777777" w:rsidR="002C5565" w:rsidRDefault="002C5565" w:rsidP="00827CC0">
      <w:pPr>
        <w:spacing w:line="276" w:lineRule="auto"/>
        <w:ind w:firstLine="720"/>
        <w:contextualSpacing/>
        <w:rPr>
          <w:rFonts w:ascii="Candara" w:hAnsi="Candara"/>
          <w:color w:val="000000"/>
          <w:szCs w:val="23"/>
        </w:rPr>
      </w:pPr>
    </w:p>
    <w:p w14:paraId="3A420D11" w14:textId="77777777" w:rsidR="002C5565" w:rsidRDefault="002C5565" w:rsidP="00827CC0">
      <w:pPr>
        <w:spacing w:line="276" w:lineRule="auto"/>
        <w:ind w:firstLine="720"/>
        <w:contextualSpacing/>
        <w:rPr>
          <w:rFonts w:ascii="Candara" w:hAnsi="Candara"/>
          <w:color w:val="000000"/>
          <w:szCs w:val="23"/>
        </w:rPr>
      </w:pPr>
    </w:p>
    <w:p w14:paraId="12FC13DB" w14:textId="77777777" w:rsidR="002C5565" w:rsidRDefault="002C5565" w:rsidP="00827CC0">
      <w:pPr>
        <w:spacing w:line="276" w:lineRule="auto"/>
        <w:ind w:firstLine="720"/>
        <w:contextualSpacing/>
        <w:rPr>
          <w:rFonts w:ascii="Candara" w:hAnsi="Candara"/>
          <w:color w:val="000000"/>
          <w:szCs w:val="23"/>
        </w:rPr>
      </w:pPr>
    </w:p>
    <w:p w14:paraId="7EE30664" w14:textId="77777777" w:rsidR="001C2921" w:rsidRDefault="001C2921" w:rsidP="00827CC0">
      <w:pPr>
        <w:spacing w:line="276" w:lineRule="auto"/>
        <w:ind w:firstLine="720"/>
        <w:contextualSpacing/>
        <w:rPr>
          <w:rFonts w:ascii="Candara" w:hAnsi="Candara"/>
          <w:color w:val="000000"/>
          <w:szCs w:val="23"/>
        </w:rPr>
      </w:pPr>
    </w:p>
    <w:p w14:paraId="66792AD4" w14:textId="77777777" w:rsidR="001C2921" w:rsidRDefault="001C2921" w:rsidP="00827CC0">
      <w:pPr>
        <w:spacing w:line="276" w:lineRule="auto"/>
        <w:ind w:firstLine="720"/>
        <w:contextualSpacing/>
        <w:rPr>
          <w:rFonts w:ascii="Candara" w:hAnsi="Candara"/>
          <w:color w:val="000000"/>
          <w:szCs w:val="23"/>
        </w:rPr>
      </w:pPr>
    </w:p>
    <w:p w14:paraId="516CF4A3" w14:textId="77777777" w:rsidR="001C2921" w:rsidRDefault="001C2921" w:rsidP="00827CC0">
      <w:pPr>
        <w:spacing w:line="276" w:lineRule="auto"/>
        <w:ind w:firstLine="720"/>
        <w:contextualSpacing/>
        <w:rPr>
          <w:rFonts w:ascii="Candara" w:hAnsi="Candara"/>
          <w:color w:val="000000"/>
          <w:szCs w:val="23"/>
        </w:rPr>
      </w:pPr>
    </w:p>
    <w:p w14:paraId="5BF1E116" w14:textId="77777777" w:rsidR="001C2921" w:rsidRDefault="001C2921" w:rsidP="00827CC0">
      <w:pPr>
        <w:spacing w:line="276" w:lineRule="auto"/>
        <w:ind w:firstLine="720"/>
        <w:contextualSpacing/>
        <w:rPr>
          <w:rFonts w:ascii="Candara" w:hAnsi="Candara"/>
          <w:color w:val="000000"/>
          <w:szCs w:val="23"/>
        </w:rPr>
      </w:pPr>
    </w:p>
    <w:p w14:paraId="6954FAF5" w14:textId="77777777" w:rsidR="001C2921" w:rsidRDefault="001C2921" w:rsidP="00827CC0">
      <w:pPr>
        <w:spacing w:line="276" w:lineRule="auto"/>
        <w:ind w:firstLine="720"/>
        <w:contextualSpacing/>
        <w:rPr>
          <w:rFonts w:ascii="Candara" w:hAnsi="Candara"/>
          <w:color w:val="000000"/>
          <w:szCs w:val="23"/>
        </w:rPr>
      </w:pPr>
    </w:p>
    <w:p w14:paraId="6B926164" w14:textId="77777777" w:rsidR="002C5565" w:rsidRDefault="002C5565" w:rsidP="00827CC0">
      <w:pPr>
        <w:spacing w:line="276" w:lineRule="auto"/>
        <w:ind w:firstLine="720"/>
        <w:contextualSpacing/>
        <w:rPr>
          <w:rFonts w:ascii="Candara" w:hAnsi="Candara"/>
          <w:color w:val="000000"/>
          <w:szCs w:val="23"/>
        </w:rPr>
      </w:pPr>
    </w:p>
    <w:p w14:paraId="37194158" w14:textId="77777777" w:rsidR="005D377B" w:rsidRDefault="005D377B" w:rsidP="00827CC0">
      <w:pPr>
        <w:spacing w:line="276" w:lineRule="auto"/>
        <w:ind w:firstLine="720"/>
        <w:contextualSpacing/>
        <w:rPr>
          <w:rFonts w:ascii="Candara" w:hAnsi="Candara"/>
          <w:color w:val="000000"/>
          <w:szCs w:val="23"/>
        </w:rPr>
      </w:pPr>
    </w:p>
    <w:p w14:paraId="3B78B11D" w14:textId="77777777" w:rsidR="00C7776A" w:rsidRDefault="00C7776A" w:rsidP="00827CC0">
      <w:pPr>
        <w:spacing w:line="276" w:lineRule="auto"/>
        <w:ind w:firstLine="720"/>
        <w:contextualSpacing/>
        <w:rPr>
          <w:rFonts w:ascii="Candara" w:hAnsi="Candara"/>
          <w:color w:val="000000"/>
          <w:szCs w:val="23"/>
        </w:rPr>
      </w:pPr>
    </w:p>
    <w:p w14:paraId="202F7376" w14:textId="77777777" w:rsidR="00C7776A" w:rsidRDefault="00C7776A" w:rsidP="00827CC0">
      <w:pPr>
        <w:spacing w:line="276" w:lineRule="auto"/>
        <w:ind w:firstLine="720"/>
        <w:contextualSpacing/>
        <w:rPr>
          <w:rFonts w:ascii="Candara" w:hAnsi="Candara"/>
          <w:color w:val="000000"/>
          <w:szCs w:val="23"/>
        </w:rPr>
      </w:pPr>
    </w:p>
    <w:sdt>
      <w:sdtPr>
        <w:rPr>
          <w:rFonts w:asciiTheme="minorHAnsi" w:hAnsiTheme="minorHAnsi"/>
          <w:caps w:val="0"/>
          <w:color w:val="auto"/>
          <w:sz w:val="23"/>
          <w:szCs w:val="20"/>
        </w:rPr>
        <w:id w:val="762342682"/>
        <w:docPartObj>
          <w:docPartGallery w:val="Bibliographies"/>
          <w:docPartUnique/>
        </w:docPartObj>
      </w:sdtPr>
      <w:sdtEndPr/>
      <w:sdtContent>
        <w:p w14:paraId="76098848" w14:textId="58C8497E" w:rsidR="002C5565" w:rsidRDefault="002C5565">
          <w:pPr>
            <w:pStyle w:val="Heading1"/>
          </w:pPr>
          <w:r>
            <w:t>Bibliography</w:t>
          </w:r>
          <w:bookmarkStart w:id="0" w:name="_GoBack"/>
          <w:bookmarkEnd w:id="0"/>
        </w:p>
        <w:sdt>
          <w:sdtPr>
            <w:id w:val="111145805"/>
            <w:bibliography/>
          </w:sdtPr>
          <w:sdtEndPr/>
          <w:sdtContent>
            <w:p w14:paraId="4798F0A8" w14:textId="77777777" w:rsidR="002B4FCC" w:rsidRDefault="002C5565" w:rsidP="002B4FCC">
              <w:pPr>
                <w:pStyle w:val="Bibliography"/>
                <w:rPr>
                  <w:noProof/>
                </w:rPr>
              </w:pPr>
              <w:r>
                <w:fldChar w:fldCharType="begin"/>
              </w:r>
              <w:r>
                <w:instrText xml:space="preserve"> BIBLIOGRAPHY </w:instrText>
              </w:r>
              <w:r>
                <w:fldChar w:fldCharType="separate"/>
              </w:r>
              <w:r w:rsidR="002B4FCC">
                <w:rPr>
                  <w:noProof/>
                </w:rPr>
                <w:t xml:space="preserve">Barge, D. J. (2014). </w:t>
              </w:r>
              <w:r w:rsidR="002B4FCC">
                <w:rPr>
                  <w:i/>
                  <w:iCs/>
                  <w:noProof/>
                </w:rPr>
                <w:t>Statewide Georgia Student Health Survey II.</w:t>
              </w:r>
              <w:r w:rsidR="002B4FCC">
                <w:rPr>
                  <w:noProof/>
                </w:rPr>
                <w:t xml:space="preserve"> Georgia Department of Education.</w:t>
              </w:r>
            </w:p>
            <w:p w14:paraId="51552796" w14:textId="77777777" w:rsidR="002B4FCC" w:rsidRDefault="002B4FCC" w:rsidP="002B4FCC">
              <w:pPr>
                <w:pStyle w:val="Bibliography"/>
                <w:rPr>
                  <w:noProof/>
                </w:rPr>
              </w:pPr>
              <w:r>
                <w:rPr>
                  <w:noProof/>
                </w:rPr>
                <w:t xml:space="preserve">Centers for Disease Control and Prevention. (2014). </w:t>
              </w:r>
              <w:r>
                <w:rPr>
                  <w:i/>
                  <w:iCs/>
                  <w:noProof/>
                </w:rPr>
                <w:t>Excessive Alcohol Use - Georgia.</w:t>
              </w:r>
              <w:r>
                <w:rPr>
                  <w:noProof/>
                </w:rPr>
                <w:t xml:space="preserve"> Atlanta: US Department of Health and Human Services.</w:t>
              </w:r>
            </w:p>
            <w:p w14:paraId="4ADC7511" w14:textId="77777777" w:rsidR="002B4FCC" w:rsidRDefault="002B4FCC" w:rsidP="002B4FCC">
              <w:pPr>
                <w:pStyle w:val="Bibliography"/>
                <w:rPr>
                  <w:noProof/>
                </w:rPr>
              </w:pPr>
              <w:r>
                <w:rPr>
                  <w:noProof/>
                </w:rPr>
                <w:t xml:space="preserve">Cobb Alcohol Task Force. (2012, November 2). </w:t>
              </w:r>
              <w:r>
                <w:rPr>
                  <w:i/>
                  <w:iCs/>
                  <w:noProof/>
                </w:rPr>
                <w:t>Social Host Ordinances FAQ Sheet</w:t>
              </w:r>
              <w:r>
                <w:rPr>
                  <w:noProof/>
                </w:rPr>
                <w:t>. Retrieved June 5, 2015, from www.cobbat.org: http://www.cobbat.org/wp-content/uploads/2012/11/socialhostFAQ1023.10.pdf</w:t>
              </w:r>
            </w:p>
            <w:p w14:paraId="0683E346" w14:textId="77777777" w:rsidR="002B4FCC" w:rsidRDefault="002B4FCC" w:rsidP="002B4FCC">
              <w:pPr>
                <w:pStyle w:val="Bibliography"/>
                <w:rPr>
                  <w:noProof/>
                </w:rPr>
              </w:pPr>
              <w:r>
                <w:rPr>
                  <w:noProof/>
                </w:rPr>
                <w:t xml:space="preserve">Dills, A. K. (2010). Social Host Liabilty for Minors and Underage Drunk-Driving Accidents. </w:t>
              </w:r>
              <w:r>
                <w:rPr>
                  <w:i/>
                  <w:iCs/>
                  <w:noProof/>
                </w:rPr>
                <w:t>Journal of Health Economics</w:t>
              </w:r>
              <w:r>
                <w:rPr>
                  <w:noProof/>
                </w:rPr>
                <w:t xml:space="preserve"> </w:t>
              </w:r>
              <w:r>
                <w:rPr>
                  <w:i/>
                  <w:iCs/>
                  <w:noProof/>
                </w:rPr>
                <w:t>, 29</w:t>
              </w:r>
              <w:r>
                <w:rPr>
                  <w:noProof/>
                </w:rPr>
                <w:t xml:space="preserve"> (2), 241-249.</w:t>
              </w:r>
            </w:p>
            <w:p w14:paraId="0CB29C98" w14:textId="77777777" w:rsidR="002B4FCC" w:rsidRDefault="002B4FCC" w:rsidP="002B4FCC">
              <w:pPr>
                <w:pStyle w:val="Bibliography"/>
                <w:rPr>
                  <w:noProof/>
                </w:rPr>
              </w:pPr>
              <w:r>
                <w:rPr>
                  <w:noProof/>
                </w:rPr>
                <w:t xml:space="preserve">Fell, J. C., Scherer, M., Thomas, S., &amp; Voas, R. B. (2014). Effectiveness of Social Host and Fake Identification Laws on Reducing Underage Drinking Driver Fatal Crashes. </w:t>
              </w:r>
              <w:r>
                <w:rPr>
                  <w:i/>
                  <w:iCs/>
                  <w:noProof/>
                </w:rPr>
                <w:t>Traffic Injury Prevention</w:t>
              </w:r>
              <w:r>
                <w:rPr>
                  <w:noProof/>
                </w:rPr>
                <w:t xml:space="preserve"> </w:t>
              </w:r>
              <w:r>
                <w:rPr>
                  <w:i/>
                  <w:iCs/>
                  <w:noProof/>
                </w:rPr>
                <w:t>, 15</w:t>
              </w:r>
              <w:r>
                <w:rPr>
                  <w:noProof/>
                </w:rPr>
                <w:t xml:space="preserve"> (Sup 1), S64-73.</w:t>
              </w:r>
            </w:p>
            <w:p w14:paraId="3B2E347B" w14:textId="77777777" w:rsidR="002B4FCC" w:rsidRDefault="002B4FCC" w:rsidP="002B4FCC">
              <w:pPr>
                <w:pStyle w:val="Bibliography"/>
                <w:rPr>
                  <w:noProof/>
                </w:rPr>
              </w:pPr>
              <w:r>
                <w:rPr>
                  <w:noProof/>
                </w:rPr>
                <w:t xml:space="preserve">Foster, S. E. (2003). Alcohol Consumption and Expenditures for Underage Drinking and Adult Excessive Drinking. </w:t>
              </w:r>
              <w:r>
                <w:rPr>
                  <w:i/>
                  <w:iCs/>
                  <w:noProof/>
                </w:rPr>
                <w:t>JAMA</w:t>
              </w:r>
              <w:r>
                <w:rPr>
                  <w:noProof/>
                </w:rPr>
                <w:t xml:space="preserve"> </w:t>
              </w:r>
              <w:r>
                <w:rPr>
                  <w:i/>
                  <w:iCs/>
                  <w:noProof/>
                </w:rPr>
                <w:t>, 289</w:t>
              </w:r>
              <w:r>
                <w:rPr>
                  <w:noProof/>
                </w:rPr>
                <w:t xml:space="preserve"> (9), 989-995.</w:t>
              </w:r>
            </w:p>
            <w:p w14:paraId="76A03489" w14:textId="77777777" w:rsidR="002B4FCC" w:rsidRDefault="002B4FCC" w:rsidP="002B4FCC">
              <w:pPr>
                <w:pStyle w:val="Bibliography"/>
                <w:rPr>
                  <w:noProof/>
                </w:rPr>
              </w:pPr>
              <w:r>
                <w:rPr>
                  <w:noProof/>
                </w:rPr>
                <w:t xml:space="preserve">Higson, R., &amp; White, A. (2014). New Research Findings Since the 2007 Surgeon General's Call to Action to Prevent and Reduce Underage Drinking: A Review. </w:t>
              </w:r>
              <w:r>
                <w:rPr>
                  <w:i/>
                  <w:iCs/>
                  <w:noProof/>
                </w:rPr>
                <w:t>Journal of Studies on Alcohol and Drugs</w:t>
              </w:r>
              <w:r>
                <w:rPr>
                  <w:noProof/>
                </w:rPr>
                <w:t xml:space="preserve"> </w:t>
              </w:r>
              <w:r>
                <w:rPr>
                  <w:i/>
                  <w:iCs/>
                  <w:noProof/>
                </w:rPr>
                <w:t>, 75</w:t>
              </w:r>
              <w:r>
                <w:rPr>
                  <w:noProof/>
                </w:rPr>
                <w:t xml:space="preserve"> (1), 158.</w:t>
              </w:r>
            </w:p>
            <w:p w14:paraId="7B0C7483" w14:textId="77777777" w:rsidR="002B4FCC" w:rsidRDefault="002B4FCC" w:rsidP="002B4FCC">
              <w:pPr>
                <w:pStyle w:val="Bibliography"/>
                <w:rPr>
                  <w:noProof/>
                </w:rPr>
              </w:pPr>
              <w:r>
                <w:rPr>
                  <w:noProof/>
                </w:rPr>
                <w:t xml:space="preserve">Morton, H. (2014, March 27). </w:t>
              </w:r>
              <w:r>
                <w:rPr>
                  <w:i/>
                  <w:iCs/>
                  <w:noProof/>
                </w:rPr>
                <w:t>NCSL</w:t>
              </w:r>
              <w:r>
                <w:rPr>
                  <w:noProof/>
                </w:rPr>
                <w:t>. Retrieved May 29, 2015, from Social Host Liability for Underage Drinking Statutes: http://www.ncsl.org/research/financial-services-and-commerce/social-host-liability-for-underage-drinking-statutes.aspx</w:t>
              </w:r>
            </w:p>
            <w:p w14:paraId="27DEB276" w14:textId="77777777" w:rsidR="002B4FCC" w:rsidRDefault="002B4FCC" w:rsidP="002B4FCC">
              <w:pPr>
                <w:pStyle w:val="Bibliography"/>
                <w:rPr>
                  <w:noProof/>
                </w:rPr>
              </w:pPr>
              <w:r>
                <w:rPr>
                  <w:noProof/>
                </w:rPr>
                <w:t xml:space="preserve">Nelson, T. F. (2013). Efficacy and the Strength of Evidence of US Alcohol Control Policies. </w:t>
              </w:r>
              <w:r>
                <w:rPr>
                  <w:i/>
                  <w:iCs/>
                  <w:noProof/>
                </w:rPr>
                <w:t>American Journal of Prevenative Medicine</w:t>
              </w:r>
              <w:r>
                <w:rPr>
                  <w:noProof/>
                </w:rPr>
                <w:t xml:space="preserve"> , 19-28.</w:t>
              </w:r>
            </w:p>
            <w:p w14:paraId="25712FDC" w14:textId="77777777" w:rsidR="002B4FCC" w:rsidRDefault="002B4FCC" w:rsidP="002B4FCC">
              <w:pPr>
                <w:pStyle w:val="Bibliography"/>
                <w:rPr>
                  <w:noProof/>
                </w:rPr>
              </w:pPr>
              <w:r>
                <w:rPr>
                  <w:noProof/>
                </w:rPr>
                <w:t xml:space="preserve">Pacific Institute for Research and Evaluation. (2015, March 1). </w:t>
              </w:r>
              <w:r>
                <w:rPr>
                  <w:i/>
                  <w:iCs/>
                  <w:noProof/>
                </w:rPr>
                <w:t>Underage Drinking in Georgia: The Facts</w:t>
              </w:r>
              <w:r>
                <w:rPr>
                  <w:noProof/>
                </w:rPr>
                <w:t>. Retrieved April 1, 2015, from Underage Drinking Enforcement Training Center: http://www.udetc.org/UnderageDrinkingCosts.asp</w:t>
              </w:r>
            </w:p>
            <w:p w14:paraId="0245E058" w14:textId="77777777" w:rsidR="002B4FCC" w:rsidRDefault="002B4FCC" w:rsidP="002B4FCC">
              <w:pPr>
                <w:pStyle w:val="Bibliography"/>
                <w:rPr>
                  <w:noProof/>
                </w:rPr>
              </w:pPr>
              <w:r>
                <w:rPr>
                  <w:noProof/>
                </w:rPr>
                <w:t xml:space="preserve">Powell, J. A. (2009, April 27). </w:t>
              </w:r>
              <w:r>
                <w:rPr>
                  <w:i/>
                  <w:iCs/>
                  <w:noProof/>
                </w:rPr>
                <w:t>Public Health Theses.</w:t>
              </w:r>
              <w:r>
                <w:rPr>
                  <w:noProof/>
                </w:rPr>
                <w:t xml:space="preserve"> Retrieved March 31, 2015, from ScholarWorks @ Georgia State University: http://scholarworks.gsu.edu/iph_theses/67/</w:t>
              </w:r>
            </w:p>
            <w:p w14:paraId="4DBC4624" w14:textId="77777777" w:rsidR="002B4FCC" w:rsidRDefault="002B4FCC" w:rsidP="002B4FCC">
              <w:pPr>
                <w:pStyle w:val="Bibliography"/>
                <w:rPr>
                  <w:noProof/>
                </w:rPr>
              </w:pPr>
              <w:r>
                <w:rPr>
                  <w:noProof/>
                </w:rPr>
                <w:t xml:space="preserve">Sacks, J. J. (2006). State Costs of Excessive Alcohol Consumption. </w:t>
              </w:r>
              <w:r>
                <w:rPr>
                  <w:i/>
                  <w:iCs/>
                  <w:noProof/>
                </w:rPr>
                <w:t>American Journal of Preventative Medicine</w:t>
              </w:r>
              <w:r>
                <w:rPr>
                  <w:noProof/>
                </w:rPr>
                <w:t xml:space="preserve"> , 474-485.</w:t>
              </w:r>
            </w:p>
            <w:p w14:paraId="4ADBB96F" w14:textId="77777777" w:rsidR="002B4FCC" w:rsidRDefault="002B4FCC" w:rsidP="002B4FCC">
              <w:pPr>
                <w:pStyle w:val="Bibliography"/>
                <w:rPr>
                  <w:noProof/>
                </w:rPr>
              </w:pPr>
              <w:r>
                <w:rPr>
                  <w:noProof/>
                </w:rPr>
                <w:t xml:space="preserve">Stout, E. M., Sloan, F. A., Liang, L., &amp; Davies, H. H. (2000). Reducing Harmful Alcohol-Related Behaviors: Effective Regulatory Methods. </w:t>
              </w:r>
              <w:r>
                <w:rPr>
                  <w:i/>
                  <w:iCs/>
                  <w:noProof/>
                </w:rPr>
                <w:t>Journal of Studies on Alcohol and Drugs</w:t>
              </w:r>
              <w:r>
                <w:rPr>
                  <w:noProof/>
                </w:rPr>
                <w:t xml:space="preserve"> </w:t>
              </w:r>
              <w:r>
                <w:rPr>
                  <w:i/>
                  <w:iCs/>
                  <w:noProof/>
                </w:rPr>
                <w:t>, 61</w:t>
              </w:r>
              <w:r>
                <w:rPr>
                  <w:noProof/>
                </w:rPr>
                <w:t xml:space="preserve"> (3), 402.</w:t>
              </w:r>
            </w:p>
            <w:p w14:paraId="6A65A672" w14:textId="77777777" w:rsidR="002B4FCC" w:rsidRDefault="002B4FCC" w:rsidP="002B4FCC">
              <w:pPr>
                <w:pStyle w:val="Bibliography"/>
                <w:rPr>
                  <w:noProof/>
                </w:rPr>
              </w:pPr>
              <w:r>
                <w:rPr>
                  <w:noProof/>
                </w:rPr>
                <w:t xml:space="preserve">Wagoner, K. G., Francisco, V. T., Sparks, M., Wyrick, D., Nichols, T., &amp; Wolfson, M. (2012). A Review of Social Host Policies Focused on Underage Drinking Parties: Suggestions for Future Research. </w:t>
              </w:r>
              <w:r>
                <w:rPr>
                  <w:i/>
                  <w:iCs/>
                  <w:noProof/>
                </w:rPr>
                <w:t>Journal of Drug Education</w:t>
              </w:r>
              <w:r>
                <w:rPr>
                  <w:noProof/>
                </w:rPr>
                <w:t xml:space="preserve"> </w:t>
              </w:r>
              <w:r>
                <w:rPr>
                  <w:i/>
                  <w:iCs/>
                  <w:noProof/>
                </w:rPr>
                <w:t>, 42</w:t>
              </w:r>
              <w:r>
                <w:rPr>
                  <w:noProof/>
                </w:rPr>
                <w:t xml:space="preserve"> (1), 99-117.</w:t>
              </w:r>
            </w:p>
            <w:p w14:paraId="58AF5C6C" w14:textId="77777777" w:rsidR="002B4FCC" w:rsidRDefault="002B4FCC" w:rsidP="002B4FCC">
              <w:pPr>
                <w:pStyle w:val="Bibliography"/>
                <w:rPr>
                  <w:noProof/>
                </w:rPr>
              </w:pPr>
              <w:r>
                <w:rPr>
                  <w:noProof/>
                </w:rPr>
                <w:t xml:space="preserve">Wagoner, K. G., Sparks, M., Francisco, V. T., Wyrick, D., Nichols, T., &amp; Wolfson, M. (2013). Social Host Policies and Underage Drinking Parties. </w:t>
              </w:r>
              <w:r>
                <w:rPr>
                  <w:i/>
                  <w:iCs/>
                  <w:noProof/>
                </w:rPr>
                <w:t>Substance Abuse and Misuse</w:t>
              </w:r>
              <w:r>
                <w:rPr>
                  <w:noProof/>
                </w:rPr>
                <w:t xml:space="preserve"> </w:t>
              </w:r>
              <w:r>
                <w:rPr>
                  <w:i/>
                  <w:iCs/>
                  <w:noProof/>
                </w:rPr>
                <w:t>, 48</w:t>
              </w:r>
              <w:r>
                <w:rPr>
                  <w:noProof/>
                </w:rPr>
                <w:t xml:space="preserve"> (1-2), 41-53.</w:t>
              </w:r>
            </w:p>
            <w:p w14:paraId="66BE1AAE" w14:textId="16A87CCC" w:rsidR="002C5565" w:rsidRDefault="002C5565" w:rsidP="002B4FCC">
              <w:r>
                <w:rPr>
                  <w:b/>
                  <w:bCs/>
                  <w:noProof/>
                </w:rPr>
                <w:fldChar w:fldCharType="end"/>
              </w:r>
            </w:p>
          </w:sdtContent>
        </w:sdt>
      </w:sdtContent>
    </w:sdt>
    <w:p w14:paraId="6DBCDF52" w14:textId="6C899AEE" w:rsidR="00ED1C3F" w:rsidRDefault="00ED1C3F" w:rsidP="002078EE"/>
    <w:sectPr w:rsidR="00ED1C3F" w:rsidSect="00A672F4">
      <w:headerReference w:type="even" r:id="rId17"/>
      <w:headerReference w:type="default" r:id="rId18"/>
      <w:footerReference w:type="even" r:id="rId19"/>
      <w:footerReference w:type="default" r:id="rId20"/>
      <w:pgSz w:w="12240" w:h="15840"/>
      <w:pgMar w:top="1080" w:right="1080" w:bottom="1080" w:left="1080" w:header="720" w:footer="720" w:gutter="0"/>
      <w:pgBorders w:display="firstPage">
        <w:top w:val="single" w:sz="24" w:space="1" w:color="auto"/>
        <w:left w:val="single" w:sz="24" w:space="4" w:color="auto"/>
        <w:bottom w:val="single" w:sz="24" w:space="1" w:color="auto"/>
        <w:right w:val="single" w:sz="24" w:space="4" w:color="auto"/>
      </w:pgBorders>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9B1C5" w14:textId="77777777" w:rsidR="000A6BD7" w:rsidRDefault="000A6BD7">
      <w:pPr>
        <w:spacing w:after="0" w:line="240" w:lineRule="auto"/>
      </w:pPr>
      <w:r>
        <w:separator/>
      </w:r>
    </w:p>
  </w:endnote>
  <w:endnote w:type="continuationSeparator" w:id="0">
    <w:p w14:paraId="03EAF2FA" w14:textId="77777777" w:rsidR="000A6BD7" w:rsidRDefault="000A6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w Cen MT">
    <w:panose1 w:val="020B0602020104020603"/>
    <w:charset w:val="00"/>
    <w:family w:val="auto"/>
    <w:pitch w:val="variable"/>
    <w:sig w:usb0="00000003" w:usb1="00000000" w:usb2="00000000" w:usb3="00000000" w:csb0="00000003"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GPｺﾞｼｯｸE">
    <w:panose1 w:val="00000000000000000000"/>
    <w:charset w:val="00"/>
    <w:family w:val="roman"/>
    <w:notTrueType/>
    <w:pitch w:val="default"/>
  </w:font>
  <w:font w:name="Candara">
    <w:panose1 w:val="020E0502030303020204"/>
    <w:charset w:val="00"/>
    <w:family w:val="auto"/>
    <w:pitch w:val="variable"/>
    <w:sig w:usb0="A00002EF" w:usb1="4000A44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25B2A" w14:textId="77777777" w:rsidR="000A6BD7" w:rsidRDefault="000A6BD7"/>
  <w:p w14:paraId="23803A18" w14:textId="77777777" w:rsidR="000A6BD7" w:rsidRDefault="000A6BD7">
    <w:pPr>
      <w:pStyle w:val="FooterEven"/>
    </w:pPr>
    <w:r>
      <w:t xml:space="preserve">Page </w:t>
    </w:r>
    <w:r>
      <w:fldChar w:fldCharType="begin"/>
    </w:r>
    <w:r>
      <w:instrText xml:space="preserve"> PAGE   \* MERGEFORMAT </w:instrText>
    </w:r>
    <w:r>
      <w:fldChar w:fldCharType="separate"/>
    </w:r>
    <w:r w:rsidR="002B4FCC" w:rsidRPr="002B4FCC">
      <w:rPr>
        <w:noProof/>
        <w:sz w:val="24"/>
        <w:szCs w:val="24"/>
      </w:rPr>
      <w:t>2</w:t>
    </w:r>
    <w:r>
      <w:rPr>
        <w:noProof/>
        <w:sz w:val="24"/>
        <w:szCs w:val="24"/>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C00C2" w14:textId="77777777" w:rsidR="000A6BD7" w:rsidRDefault="000A6BD7"/>
  <w:p w14:paraId="54D5D84F" w14:textId="77777777" w:rsidR="000A6BD7" w:rsidRDefault="000A6BD7">
    <w:pPr>
      <w:pStyle w:val="FooterOdd"/>
    </w:pPr>
    <w:r>
      <w:t xml:space="preserve">Page </w:t>
    </w:r>
    <w:r>
      <w:fldChar w:fldCharType="begin"/>
    </w:r>
    <w:r>
      <w:instrText xml:space="preserve"> PAGE   \* MERGEFORMAT </w:instrText>
    </w:r>
    <w:r>
      <w:fldChar w:fldCharType="separate"/>
    </w:r>
    <w:r w:rsidR="002B4FCC" w:rsidRPr="002B4FCC">
      <w:rPr>
        <w:noProof/>
        <w:sz w:val="24"/>
        <w:szCs w:val="24"/>
      </w:rPr>
      <w:t>1</w:t>
    </w:r>
    <w:r>
      <w:rPr>
        <w:noProof/>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71299" w14:textId="77777777" w:rsidR="000A6BD7" w:rsidRDefault="000A6BD7">
      <w:pPr>
        <w:spacing w:after="0" w:line="240" w:lineRule="auto"/>
      </w:pPr>
      <w:r>
        <w:separator/>
      </w:r>
    </w:p>
  </w:footnote>
  <w:footnote w:type="continuationSeparator" w:id="0">
    <w:p w14:paraId="75FC55F0" w14:textId="77777777" w:rsidR="000A6BD7" w:rsidRDefault="000A6BD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D414E" w14:textId="7DB55B8B" w:rsidR="000A6BD7" w:rsidRDefault="002B4FCC">
    <w:pPr>
      <w:pStyle w:val="HeaderEven"/>
    </w:pPr>
    <w:sdt>
      <w:sdtPr>
        <w:alias w:val="Title"/>
        <w:id w:val="-277259399"/>
        <w:dataBinding w:prefixMappings="xmlns:ns0='http://schemas.openxmlformats.org/package/2006/metadata/core-properties' xmlns:ns1='http://purl.org/dc/elements/1.1/'" w:xpath="/ns0:coreProperties[1]/ns1:title[1]" w:storeItemID="{6C3C8BC8-F283-45AE-878A-BAB7291924A1}"/>
        <w:text/>
      </w:sdtPr>
      <w:sdtEndPr/>
      <w:sdtContent>
        <w:r>
          <w:t>Social Host Ordinances</w:t>
        </w:r>
      </w:sdtContent>
    </w:sdt>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99484" w14:textId="79299403" w:rsidR="000A6BD7" w:rsidRDefault="002B4FCC">
    <w:pPr>
      <w:pStyle w:val="HeaderOdd"/>
    </w:pPr>
    <w:sdt>
      <w:sdtPr>
        <w:alias w:val="Title"/>
        <w:id w:val="-1961106881"/>
        <w:dataBinding w:prefixMappings="xmlns:ns0='http://schemas.openxmlformats.org/package/2006/metadata/core-properties' xmlns:ns1='http://purl.org/dc/elements/1.1/'" w:xpath="/ns0:coreProperties[1]/ns1:title[1]" w:storeItemID="{6C3C8BC8-F283-45AE-878A-BAB7291924A1}"/>
        <w:text/>
      </w:sdtPr>
      <w:sdtEndPr/>
      <w:sdtContent>
        <w:r>
          <w:t>Social Host Ordinances</w:t>
        </w:r>
      </w:sdtContent>
    </w:sdt>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0EF86D6B"/>
    <w:multiLevelType w:val="hybridMultilevel"/>
    <w:tmpl w:val="03F41B1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78605D"/>
    <w:multiLevelType w:val="hybridMultilevel"/>
    <w:tmpl w:val="579EDF76"/>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A4852B8"/>
    <w:multiLevelType w:val="hybridMultilevel"/>
    <w:tmpl w:val="35349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nsid w:val="2FC95E97"/>
    <w:multiLevelType w:val="hybridMultilevel"/>
    <w:tmpl w:val="9DA43E9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097409"/>
    <w:multiLevelType w:val="hybridMultilevel"/>
    <w:tmpl w:val="B148C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9E04CC"/>
    <w:multiLevelType w:val="hybridMultilevel"/>
    <w:tmpl w:val="A928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4D3E97"/>
    <w:multiLevelType w:val="hybridMultilevel"/>
    <w:tmpl w:val="ACF25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4D3148"/>
    <w:multiLevelType w:val="hybridMultilevel"/>
    <w:tmpl w:val="85B03C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0595F68"/>
    <w:multiLevelType w:val="hybridMultilevel"/>
    <w:tmpl w:val="B1467B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9E761AC"/>
    <w:multiLevelType w:val="multilevel"/>
    <w:tmpl w:val="ABB832C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4"/>
  </w:num>
  <w:num w:numId="2">
    <w:abstractNumId w:val="9"/>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8"/>
  </w:num>
  <w:num w:numId="12">
    <w:abstractNumId w:val="9"/>
  </w:num>
  <w:num w:numId="13">
    <w:abstractNumId w:val="3"/>
  </w:num>
  <w:num w:numId="14">
    <w:abstractNumId w:val="2"/>
  </w:num>
  <w:num w:numId="15">
    <w:abstractNumId w:val="1"/>
  </w:num>
  <w:num w:numId="16">
    <w:abstractNumId w:val="0"/>
  </w:num>
  <w:num w:numId="17">
    <w:abstractNumId w:val="8"/>
  </w:num>
  <w:num w:numId="18">
    <w:abstractNumId w:val="9"/>
  </w:num>
  <w:num w:numId="19">
    <w:abstractNumId w:val="3"/>
  </w:num>
  <w:num w:numId="20">
    <w:abstractNumId w:val="2"/>
  </w:num>
  <w:num w:numId="21">
    <w:abstractNumId w:val="1"/>
  </w:num>
  <w:num w:numId="22">
    <w:abstractNumId w:val="0"/>
  </w:num>
  <w:num w:numId="23">
    <w:abstractNumId w:val="8"/>
  </w:num>
  <w:num w:numId="24">
    <w:abstractNumId w:val="12"/>
  </w:num>
  <w:num w:numId="25">
    <w:abstractNumId w:val="11"/>
  </w:num>
  <w:num w:numId="26">
    <w:abstractNumId w:val="6"/>
  </w:num>
  <w:num w:numId="27">
    <w:abstractNumId w:val="10"/>
  </w:num>
  <w:num w:numId="28">
    <w:abstractNumId w:val="5"/>
  </w:num>
  <w:num w:numId="29">
    <w:abstractNumId w:val="7"/>
  </w:num>
  <w:num w:numId="30">
    <w:abstractNumId w:val="13"/>
  </w:num>
  <w:num w:numId="31">
    <w:abstractNumId w:val="16"/>
  </w:num>
  <w:num w:numId="32">
    <w:abstractNumId w:val="1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evenAndOddHeaders/>
  <w:drawingGridHorizontalSpacing w:val="115"/>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54"/>
    <w:rsid w:val="00043154"/>
    <w:rsid w:val="000A6BD7"/>
    <w:rsid w:val="000B23D1"/>
    <w:rsid w:val="000F3361"/>
    <w:rsid w:val="0012261C"/>
    <w:rsid w:val="0012266E"/>
    <w:rsid w:val="0012605A"/>
    <w:rsid w:val="001C2921"/>
    <w:rsid w:val="001D144B"/>
    <w:rsid w:val="001D4DE9"/>
    <w:rsid w:val="001E5B4D"/>
    <w:rsid w:val="002078EE"/>
    <w:rsid w:val="002575AA"/>
    <w:rsid w:val="002965BF"/>
    <w:rsid w:val="002B4FCC"/>
    <w:rsid w:val="002C5565"/>
    <w:rsid w:val="004A2609"/>
    <w:rsid w:val="0054207E"/>
    <w:rsid w:val="0059399C"/>
    <w:rsid w:val="00595C40"/>
    <w:rsid w:val="005A334C"/>
    <w:rsid w:val="005B6FA8"/>
    <w:rsid w:val="005D377B"/>
    <w:rsid w:val="005F7192"/>
    <w:rsid w:val="0067323C"/>
    <w:rsid w:val="006A47FB"/>
    <w:rsid w:val="006D0442"/>
    <w:rsid w:val="006D0BA6"/>
    <w:rsid w:val="006D1C3E"/>
    <w:rsid w:val="006E1364"/>
    <w:rsid w:val="007114D6"/>
    <w:rsid w:val="00735FDE"/>
    <w:rsid w:val="00754AB6"/>
    <w:rsid w:val="0078367F"/>
    <w:rsid w:val="00791211"/>
    <w:rsid w:val="007F6B96"/>
    <w:rsid w:val="00827CC0"/>
    <w:rsid w:val="00886546"/>
    <w:rsid w:val="008E42EB"/>
    <w:rsid w:val="009056FB"/>
    <w:rsid w:val="00935CF9"/>
    <w:rsid w:val="009D00C9"/>
    <w:rsid w:val="009F321F"/>
    <w:rsid w:val="00A672F4"/>
    <w:rsid w:val="00AB5A92"/>
    <w:rsid w:val="00B03565"/>
    <w:rsid w:val="00B10BA9"/>
    <w:rsid w:val="00B41F7E"/>
    <w:rsid w:val="00B804CD"/>
    <w:rsid w:val="00BD32E9"/>
    <w:rsid w:val="00C7776A"/>
    <w:rsid w:val="00C9747F"/>
    <w:rsid w:val="00CD522E"/>
    <w:rsid w:val="00CE12C0"/>
    <w:rsid w:val="00DF0C3C"/>
    <w:rsid w:val="00E27A7E"/>
    <w:rsid w:val="00EC00BB"/>
    <w:rsid w:val="00ED04B1"/>
    <w:rsid w:val="00ED1C3F"/>
    <w:rsid w:val="00FE63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EE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rPr>
      <w:rFonts w:cs="Times New Roman"/>
      <w:caps/>
      <w:spacing w:val="14"/>
      <w:lang w:eastAsia="ja-JP"/>
    </w:rPr>
  </w:style>
  <w:style w:type="character" w:customStyle="1" w:styleId="Heading5Char">
    <w:name w:val="Heading 5 Char"/>
    <w:basedOn w:val="DefaultParagraphFont"/>
    <w:link w:val="Heading5"/>
    <w:uiPriority w:val="9"/>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rPr>
      <w:rFonts w:cs="Times New Roman"/>
      <w:b/>
      <w:caps/>
      <w:color w:val="A5AB81" w:themeColor="accent3"/>
      <w:spacing w:val="40"/>
      <w:sz w:val="20"/>
      <w:szCs w:val="20"/>
      <w:lang w:eastAsia="ja-JP"/>
    </w:rPr>
  </w:style>
  <w:style w:type="character" w:styleId="Hyperlink">
    <w:name w:val="Hyperlink"/>
    <w:basedOn w:val="DefaultParagraphFont"/>
    <w:uiPriority w:val="99"/>
    <w:semiHidden/>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59"/>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Bibliography">
    <w:name w:val="Bibliography"/>
    <w:basedOn w:val="Normal"/>
    <w:next w:val="Normal"/>
    <w:uiPriority w:val="37"/>
    <w:unhideWhenUsed/>
    <w:rsid w:val="00C9747F"/>
  </w:style>
  <w:style w:type="paragraph" w:customStyle="1" w:styleId="normal0">
    <w:name w:val="normal"/>
    <w:rsid w:val="00ED1C3F"/>
    <w:pPr>
      <w:spacing w:after="0"/>
    </w:pPr>
    <w:rPr>
      <w:rFonts w:ascii="Arial" w:eastAsia="Arial" w:hAnsi="Arial" w:cs="Arial"/>
      <w:color w:val="000000"/>
      <w:kern w:val="0"/>
      <w:sz w:val="22"/>
      <w14:ligatures w14:val="none"/>
    </w:rPr>
  </w:style>
  <w:style w:type="character" w:styleId="CommentReference">
    <w:name w:val="annotation reference"/>
    <w:basedOn w:val="DefaultParagraphFont"/>
    <w:uiPriority w:val="99"/>
    <w:semiHidden/>
    <w:unhideWhenUsed/>
    <w:rsid w:val="00E27A7E"/>
    <w:rPr>
      <w:sz w:val="18"/>
      <w:szCs w:val="18"/>
    </w:rPr>
  </w:style>
  <w:style w:type="paragraph" w:styleId="CommentText">
    <w:name w:val="annotation text"/>
    <w:basedOn w:val="Normal"/>
    <w:link w:val="CommentTextChar"/>
    <w:uiPriority w:val="99"/>
    <w:semiHidden/>
    <w:unhideWhenUsed/>
    <w:rsid w:val="00E27A7E"/>
    <w:pPr>
      <w:spacing w:after="0" w:line="240" w:lineRule="auto"/>
    </w:pPr>
    <w:rPr>
      <w:rFonts w:eastAsiaTheme="minorEastAsia" w:cstheme="minorBidi"/>
      <w:kern w:val="0"/>
      <w:sz w:val="24"/>
      <w:szCs w:val="24"/>
      <w:lang w:eastAsia="en-US"/>
      <w14:ligatures w14:val="none"/>
    </w:rPr>
  </w:style>
  <w:style w:type="character" w:customStyle="1" w:styleId="CommentTextChar">
    <w:name w:val="Comment Text Char"/>
    <w:basedOn w:val="DefaultParagraphFont"/>
    <w:link w:val="CommentText"/>
    <w:uiPriority w:val="99"/>
    <w:semiHidden/>
    <w:rsid w:val="00E27A7E"/>
    <w:rPr>
      <w:rFonts w:eastAsiaTheme="minorEastAsia" w:cstheme="minorBidi"/>
      <w:kern w:val="0"/>
      <w:sz w:val="24"/>
      <w:szCs w:val="24"/>
      <w14:ligatures w14:val="none"/>
    </w:rPr>
  </w:style>
  <w:style w:type="paragraph" w:styleId="CommentSubject">
    <w:name w:val="annotation subject"/>
    <w:basedOn w:val="CommentText"/>
    <w:next w:val="CommentText"/>
    <w:link w:val="CommentSubjectChar"/>
    <w:uiPriority w:val="99"/>
    <w:semiHidden/>
    <w:unhideWhenUsed/>
    <w:rsid w:val="00ED04B1"/>
    <w:pPr>
      <w:spacing w:after="180"/>
    </w:pPr>
    <w:rPr>
      <w:rFonts w:eastAsiaTheme="minorHAnsi" w:cs="Times New Roman"/>
      <w:b/>
      <w:bCs/>
      <w:kern w:val="24"/>
      <w:sz w:val="20"/>
      <w:szCs w:val="20"/>
      <w:lang w:eastAsia="ja-JP"/>
      <w14:ligatures w14:val="standardContextual"/>
    </w:rPr>
  </w:style>
  <w:style w:type="character" w:customStyle="1" w:styleId="CommentSubjectChar">
    <w:name w:val="Comment Subject Char"/>
    <w:basedOn w:val="CommentTextChar"/>
    <w:link w:val="CommentSubject"/>
    <w:uiPriority w:val="99"/>
    <w:semiHidden/>
    <w:rsid w:val="00ED04B1"/>
    <w:rPr>
      <w:rFonts w:eastAsiaTheme="minorEastAsia" w:cstheme="minorBidi"/>
      <w:b/>
      <w:bCs/>
      <w:kern w:val="0"/>
      <w:sz w:val="20"/>
      <w:szCs w:val="24"/>
      <w:lang w:eastAsia="ja-JP"/>
      <w14:ligatures w14:val="none"/>
    </w:rPr>
  </w:style>
  <w:style w:type="character" w:customStyle="1" w:styleId="apple-converted-space">
    <w:name w:val="apple-converted-space"/>
    <w:basedOn w:val="DefaultParagraphFont"/>
    <w:rsid w:val="00754A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rPr>
      <w:rFonts w:cs="Times New Roman"/>
      <w:caps/>
      <w:spacing w:val="14"/>
      <w:lang w:eastAsia="ja-JP"/>
    </w:rPr>
  </w:style>
  <w:style w:type="character" w:customStyle="1" w:styleId="Heading5Char">
    <w:name w:val="Heading 5 Char"/>
    <w:basedOn w:val="DefaultParagraphFont"/>
    <w:link w:val="Heading5"/>
    <w:uiPriority w:val="9"/>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rPr>
      <w:rFonts w:cs="Times New Roman"/>
      <w:b/>
      <w:caps/>
      <w:color w:val="A5AB81" w:themeColor="accent3"/>
      <w:spacing w:val="40"/>
      <w:sz w:val="20"/>
      <w:szCs w:val="20"/>
      <w:lang w:eastAsia="ja-JP"/>
    </w:rPr>
  </w:style>
  <w:style w:type="character" w:styleId="Hyperlink">
    <w:name w:val="Hyperlink"/>
    <w:basedOn w:val="DefaultParagraphFont"/>
    <w:uiPriority w:val="99"/>
    <w:semiHidden/>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59"/>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775F55"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styleId="Bibliography">
    <w:name w:val="Bibliography"/>
    <w:basedOn w:val="Normal"/>
    <w:next w:val="Normal"/>
    <w:uiPriority w:val="37"/>
    <w:unhideWhenUsed/>
    <w:rsid w:val="00C9747F"/>
  </w:style>
  <w:style w:type="paragraph" w:customStyle="1" w:styleId="normal0">
    <w:name w:val="normal"/>
    <w:rsid w:val="00ED1C3F"/>
    <w:pPr>
      <w:spacing w:after="0"/>
    </w:pPr>
    <w:rPr>
      <w:rFonts w:ascii="Arial" w:eastAsia="Arial" w:hAnsi="Arial" w:cs="Arial"/>
      <w:color w:val="000000"/>
      <w:kern w:val="0"/>
      <w:sz w:val="22"/>
      <w14:ligatures w14:val="none"/>
    </w:rPr>
  </w:style>
  <w:style w:type="character" w:styleId="CommentReference">
    <w:name w:val="annotation reference"/>
    <w:basedOn w:val="DefaultParagraphFont"/>
    <w:uiPriority w:val="99"/>
    <w:semiHidden/>
    <w:unhideWhenUsed/>
    <w:rsid w:val="00E27A7E"/>
    <w:rPr>
      <w:sz w:val="18"/>
      <w:szCs w:val="18"/>
    </w:rPr>
  </w:style>
  <w:style w:type="paragraph" w:styleId="CommentText">
    <w:name w:val="annotation text"/>
    <w:basedOn w:val="Normal"/>
    <w:link w:val="CommentTextChar"/>
    <w:uiPriority w:val="99"/>
    <w:semiHidden/>
    <w:unhideWhenUsed/>
    <w:rsid w:val="00E27A7E"/>
    <w:pPr>
      <w:spacing w:after="0" w:line="240" w:lineRule="auto"/>
    </w:pPr>
    <w:rPr>
      <w:rFonts w:eastAsiaTheme="minorEastAsia" w:cstheme="minorBidi"/>
      <w:kern w:val="0"/>
      <w:sz w:val="24"/>
      <w:szCs w:val="24"/>
      <w:lang w:eastAsia="en-US"/>
      <w14:ligatures w14:val="none"/>
    </w:rPr>
  </w:style>
  <w:style w:type="character" w:customStyle="1" w:styleId="CommentTextChar">
    <w:name w:val="Comment Text Char"/>
    <w:basedOn w:val="DefaultParagraphFont"/>
    <w:link w:val="CommentText"/>
    <w:uiPriority w:val="99"/>
    <w:semiHidden/>
    <w:rsid w:val="00E27A7E"/>
    <w:rPr>
      <w:rFonts w:eastAsiaTheme="minorEastAsia" w:cstheme="minorBidi"/>
      <w:kern w:val="0"/>
      <w:sz w:val="24"/>
      <w:szCs w:val="24"/>
      <w14:ligatures w14:val="none"/>
    </w:rPr>
  </w:style>
  <w:style w:type="paragraph" w:styleId="CommentSubject">
    <w:name w:val="annotation subject"/>
    <w:basedOn w:val="CommentText"/>
    <w:next w:val="CommentText"/>
    <w:link w:val="CommentSubjectChar"/>
    <w:uiPriority w:val="99"/>
    <w:semiHidden/>
    <w:unhideWhenUsed/>
    <w:rsid w:val="00ED04B1"/>
    <w:pPr>
      <w:spacing w:after="180"/>
    </w:pPr>
    <w:rPr>
      <w:rFonts w:eastAsiaTheme="minorHAnsi" w:cs="Times New Roman"/>
      <w:b/>
      <w:bCs/>
      <w:kern w:val="24"/>
      <w:sz w:val="20"/>
      <w:szCs w:val="20"/>
      <w:lang w:eastAsia="ja-JP"/>
      <w14:ligatures w14:val="standardContextual"/>
    </w:rPr>
  </w:style>
  <w:style w:type="character" w:customStyle="1" w:styleId="CommentSubjectChar">
    <w:name w:val="Comment Subject Char"/>
    <w:basedOn w:val="CommentTextChar"/>
    <w:link w:val="CommentSubject"/>
    <w:uiPriority w:val="99"/>
    <w:semiHidden/>
    <w:rsid w:val="00ED04B1"/>
    <w:rPr>
      <w:rFonts w:eastAsiaTheme="minorEastAsia" w:cstheme="minorBidi"/>
      <w:b/>
      <w:bCs/>
      <w:kern w:val="0"/>
      <w:sz w:val="20"/>
      <w:szCs w:val="24"/>
      <w:lang w:eastAsia="ja-JP"/>
      <w14:ligatures w14:val="none"/>
    </w:rPr>
  </w:style>
  <w:style w:type="character" w:customStyle="1" w:styleId="apple-converted-space">
    <w:name w:val="apple-converted-space"/>
    <w:basedOn w:val="DefaultParagraphFont"/>
    <w:rsid w:val="00754A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39566">
      <w:bodyDiv w:val="1"/>
      <w:marLeft w:val="0"/>
      <w:marRight w:val="0"/>
      <w:marTop w:val="0"/>
      <w:marBottom w:val="0"/>
      <w:divBdr>
        <w:top w:val="none" w:sz="0" w:space="0" w:color="auto"/>
        <w:left w:val="none" w:sz="0" w:space="0" w:color="auto"/>
        <w:bottom w:val="none" w:sz="0" w:space="0" w:color="auto"/>
        <w:right w:val="none" w:sz="0" w:space="0" w:color="auto"/>
      </w:divBdr>
    </w:div>
    <w:div w:id="1070955966">
      <w:bodyDiv w:val="1"/>
      <w:marLeft w:val="0"/>
      <w:marRight w:val="0"/>
      <w:marTop w:val="0"/>
      <w:marBottom w:val="0"/>
      <w:divBdr>
        <w:top w:val="none" w:sz="0" w:space="0" w:color="auto"/>
        <w:left w:val="none" w:sz="0" w:space="0" w:color="auto"/>
        <w:bottom w:val="none" w:sz="0" w:space="0" w:color="auto"/>
        <w:right w:val="none" w:sz="0" w:space="0" w:color="auto"/>
      </w:divBdr>
    </w:div>
    <w:div w:id="1386562502">
      <w:bodyDiv w:val="1"/>
      <w:marLeft w:val="0"/>
      <w:marRight w:val="0"/>
      <w:marTop w:val="0"/>
      <w:marBottom w:val="0"/>
      <w:divBdr>
        <w:top w:val="none" w:sz="0" w:space="0" w:color="auto"/>
        <w:left w:val="none" w:sz="0" w:space="0" w:color="auto"/>
        <w:bottom w:val="none" w:sz="0" w:space="0" w:color="auto"/>
        <w:right w:val="none" w:sz="0" w:space="0" w:color="auto"/>
      </w:divBdr>
    </w:div>
    <w:div w:id="160865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image" Target="media/image1.jp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6m:5ld2x6x52lvdg14z3zrs0l8c0000gn:T:TM0177307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2015-05-30T00:00:00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MarketSpecific xmlns="4873beb7-5857-4685-be1f-d57550cc96cc">false</MarketSpecific>
    <ApprovalStatus xmlns="4873beb7-5857-4685-be1f-d57550cc96cc">InProgress</ApprovalStatus>
    <DirectSourceMarket xmlns="4873beb7-5857-4685-be1f-d57550cc96cc" xsi:nil="true"/>
    <ThumbnailAssetId xmlns="4873beb7-5857-4685-be1f-d57550cc96cc" xsi:nil="true"/>
    <PrimaryImageGen xmlns="4873beb7-5857-4685-be1f-d57550cc96cc">true</PrimaryImageGen>
    <LegacyData xmlns="4873beb7-5857-4685-be1f-d57550cc96cc" xsi:nil="true"/>
    <NumericId xmlns="4873beb7-5857-4685-be1f-d57550cc96cc">101808877</NumericId>
    <TPFriendlyName xmlns="4873beb7-5857-4685-be1f-d57550cc96cc" xsi:nil="true"/>
    <BusinessGroup xmlns="4873beb7-5857-4685-be1f-d57550cc96cc" xsi:nil="true"/>
    <OpenTemplate xmlns="4873beb7-5857-4685-be1f-d57550cc96cc">true</OpenTemplate>
    <SourceTitle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2009-11-16T20:50:00+00:00</IntlLangReviewDate>
    <PublishStatusLookup xmlns="4873beb7-5857-4685-be1f-d57550cc96cc">
      <Value>552332</Value>
      <Value>1303679</Value>
    </PublishStatusLookup>
    <ParentAssetId xmlns="4873beb7-5857-4685-be1f-d57550cc96cc" xsi:nil="true"/>
    <LastPublishResultLookup xmlns="4873beb7-5857-4685-be1f-d57550cc96cc" xsi:nil="true"/>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APAuthor xmlns="4873beb7-5857-4685-be1f-d57550cc96cc">
      <UserInfo>
        <DisplayName>REDMOND\v-luannv</DisplayName>
        <AccountId>92</AccountId>
        <AccountType/>
      </UserInfo>
    </APAuthor>
    <TPCommandLine xmlns="4873beb7-5857-4685-be1f-d57550cc96cc" xsi:nil="true"/>
    <TPAppVersion xmlns="4873beb7-5857-4685-be1f-d57550cc96cc" xsi:nil="true"/>
    <EditorialStatus xmlns="4873beb7-5857-4685-be1f-d57550cc96cc" xsi:nil="true"/>
    <LastModifiedDateTime xmlns="4873beb7-5857-4685-be1f-d57550cc96cc">2009-11-16T20:50:00+00:00</LastModifiedDateTime>
    <TPLaunchHelpLinkType xmlns="4873beb7-5857-4685-be1f-d57550cc96cc">Template</TPLaunchHelpLinkType>
    <TimesCloned xmlns="4873beb7-5857-4685-be1f-d57550cc96cc" xsi:nil="true"/>
    <PublishTargets xmlns="4873beb7-5857-4685-be1f-d57550cc96cc">OfficeOnline</PublishTargets>
    <AcquiredFrom xmlns="4873beb7-5857-4685-be1f-d57550cc96cc">Community</AcquiredFrom>
    <AssetStart xmlns="4873beb7-5857-4685-be1f-d57550cc96cc">2009-11-16T20:43:53+00:00</AssetStart>
    <FriendlyTitle xmlns="4873beb7-5857-4685-be1f-d57550cc96cc" xsi:nil="true"/>
    <Provider xmlns="4873beb7-5857-4685-be1f-d57550cc96cc" xsi:nil="true"/>
    <LastHandOff xmlns="4873beb7-5857-4685-be1f-d57550cc96cc" xsi:nil="true"/>
    <Manager xmlns="4873beb7-5857-4685-be1f-d57550cc96cc" xsi:nil="true"/>
    <UALocRecommendation xmlns="4873beb7-5857-4685-be1f-d57550cc96cc">Localize</UALocRecommendation>
    <ArtSampleDocs xmlns="4873beb7-5857-4685-be1f-d57550cc96cc" xsi:nil="true"/>
    <UACurrentWords xmlns="4873beb7-5857-4685-be1f-d57550cc96cc" xsi:nil="true"/>
    <TPClientViewer xmlns="4873beb7-5857-4685-be1f-d57550cc96cc" xsi:nil="true"/>
    <TemplateStatus xmlns="4873beb7-5857-4685-be1f-d57550cc96cc" xsi:nil="true"/>
    <ShowIn xmlns="4873beb7-5857-4685-be1f-d57550cc96cc">Show everywhere</ShowIn>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UANotes xmlns="4873beb7-5857-4685-be1f-d57550cc96cc" xsi:nil="true"/>
    <AssetExpire xmlns="4873beb7-5857-4685-be1f-d57550cc96cc">2100-01-01T00:00:00+00:00</AssetExpire>
    <CSXSubmissionMarket xmlns="4873beb7-5857-4685-be1f-d57550cc96cc" xsi:nil="true"/>
    <DSATActionTaken xmlns="4873beb7-5857-4685-be1f-d57550cc96cc">Best Bets</DSATActionTaken>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 xsi:nil="tru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AssetId xmlns="4873beb7-5857-4685-be1f-d57550cc96cc">TP101808877</AssetId>
    <PolicheckWords xmlns="4873beb7-5857-4685-be1f-d57550cc96cc" xsi:nil="true"/>
    <TPLaunchHelpLink xmlns="4873beb7-5857-4685-be1f-d57550cc96cc" xsi:nil="true"/>
    <IntlLocPriority xmlns="4873beb7-5857-4685-be1f-d57550cc96cc" xsi:nil="true"/>
    <TPApplication xmlns="4873beb7-5857-4685-be1f-d57550cc96cc" xsi:nil="true"/>
    <CrawlForDependencies xmlns="4873beb7-5857-4685-be1f-d57550cc96cc">false</CrawlForDependencies>
    <IntlLangReviewer xmlns="4873beb7-5857-4685-be1f-d57550cc96cc" xsi:nil="true"/>
    <HandoffToMSDN xmlns="4873beb7-5857-4685-be1f-d57550cc96cc">2009-11-16T20:50:00+00:00</HandoffToMSDN>
    <PlannedPubDate xmlns="4873beb7-5857-4685-be1f-d57550cc96cc">2009-11-16T20:50:00+00:00</PlannedPubDate>
    <TrustLevel xmlns="4873beb7-5857-4685-be1f-d57550cc96cc">1 Microsoft Managed Content</TrustLevel>
    <TPNamespace xmlns="4873beb7-5857-4685-be1f-d57550cc96cc" xsi:nil="true"/>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BlockPublish xmlns="4873beb7-5857-4685-be1f-d57550cc96cc" xsi:nil="true"/>
    <CampaignTagsTaxHTField0 xmlns="4873beb7-5857-4685-be1f-d57550cc96cc">
      <Terms xmlns="http://schemas.microsoft.com/office/infopath/2007/PartnerControls"/>
    </CampaignTagsTaxHTField0>
    <LocLastLocAttemptVersionLookup xmlns="4873beb7-5857-4685-be1f-d57550cc96cc">17236</LocLastLocAttemptVersionLookup>
    <LocLastLocAttemptVersionTypeLookup xmlns="4873beb7-5857-4685-be1f-d57550cc96cc" xsi:nil="true"/>
    <LocOverallPreviewStatusLookup xmlns="4873beb7-5857-4685-be1f-d57550cc96cc" xsi:nil="true"/>
    <LocOverallPublishStatusLookup xmlns="4873beb7-5857-4685-be1f-d57550cc96cc" xsi:nil="true"/>
    <TaxCatchAll xmlns="4873beb7-5857-4685-be1f-d57550cc96cc"/>
    <LocNewPublishedVersionLookup xmlns="4873beb7-5857-4685-be1f-d57550cc96cc" xsi:nil="true"/>
    <LocPublishedDependentAssetsLookup xmlns="4873beb7-5857-4685-be1f-d57550cc96cc" xsi:nil="true"/>
    <LocComments xmlns="4873beb7-5857-4685-be1f-d57550cc96cc" xsi:nil="true"/>
    <LocProcessedForMarketsLookup xmlns="4873beb7-5857-4685-be1f-d57550cc96cc" xsi:nil="true"/>
    <LocRecommendedHandoff xmlns="4873beb7-5857-4685-be1f-d57550cc96cc" xsi:nil="true"/>
    <LocManualTestRequired xmlns="4873beb7-5857-4685-be1f-d57550cc96cc" xsi:nil="true"/>
    <LocProcessedForHandoffsLookup xmlns="4873beb7-5857-4685-be1f-d57550cc96cc" xsi:nil="true"/>
    <LocOverallHandbackStatusLookup xmlns="4873beb7-5857-4685-be1f-d57550cc96cc" xsi:nil="true"/>
    <LocalizationTagsTaxHTField0 xmlns="4873beb7-5857-4685-be1f-d57550cc96cc">
      <Terms xmlns="http://schemas.microsoft.com/office/infopath/2007/PartnerControls"/>
    </LocalizationTagsTaxHTField0>
    <FeatureTagsTaxHTField0 xmlns="4873beb7-5857-4685-be1f-d57550cc96cc">
      <Terms xmlns="http://schemas.microsoft.com/office/infopath/2007/PartnerControls"/>
    </FeatureTagsTaxHTField0>
    <LocOverallLocStatusLookup xmlns="4873beb7-5857-4685-be1f-d57550cc96cc" xsi:nil="true"/>
    <LocPublishedLinkedAssetsLookup xmlns="4873beb7-5857-4685-be1f-d57550cc96cc" xsi:nil="true"/>
    <InternalTagsTaxHTField0 xmlns="4873beb7-5857-4685-be1f-d57550cc96cc">
      <Terms xmlns="http://schemas.microsoft.com/office/infopath/2007/PartnerControls"/>
    </InternalTagsTaxHTField0>
    <RecommendationsModifier xmlns="4873beb7-5857-4685-be1f-d57550cc96cc" xsi:nil="true"/>
    <ScenarioTagsTaxHTField0 xmlns="4873beb7-5857-4685-be1f-d57550cc96cc">
      <Terms xmlns="http://schemas.microsoft.com/office/infopath/2007/PartnerControls"/>
    </ScenarioTagsTaxHTField0>
    <OriginalRelease xmlns="4873beb7-5857-4685-be1f-d57550cc96cc">14</OriginalRelease>
    <LocMarketGroupTiers2 xmlns="4873beb7-5857-4685-be1f-d57550cc96cc" xsi:nil="true"/>
  </documentManagement>
</p:properties>
</file>

<file path=customXml/item6.xml><?xml version="1.0" encoding="utf-8"?>
<b:Sources xmlns:b="http://schemas.openxmlformats.org/officeDocument/2006/bibliography" xmlns="http://schemas.openxmlformats.org/officeDocument/2006/bibliography" SelectedStyle="/APA.XSL" StyleName="APA">
  <b:Source>
    <b:Tag>Wag12</b:Tag>
    <b:SourceType>JournalArticle</b:SourceType>
    <b:Guid>{B668AA5F-BBF7-734C-A237-E3853ECB9BED}</b:Guid>
    <b:Author>
      <b:Author>
        <b:NameList>
          <b:Person>
            <b:Last>Wagoner</b:Last>
            <b:Middle>G.</b:Middle>
            <b:First>K.</b:First>
          </b:Person>
          <b:Person>
            <b:Last>Francisco</b:Last>
            <b:Middle>T.</b:Middle>
            <b:First>V.</b:First>
          </b:Person>
          <b:Person>
            <b:Last>Sparks</b:Last>
            <b:First>M.</b:First>
          </b:Person>
          <b:Person>
            <b:Last>Wyrick</b:Last>
            <b:First>D.</b:First>
          </b:Person>
          <b:Person>
            <b:Last>Nichols</b:Last>
            <b:First>T.</b:First>
          </b:Person>
          <b:Person>
            <b:Last>Wolfson</b:Last>
            <b:First>M.</b:First>
          </b:Person>
        </b:NameList>
      </b:Author>
    </b:Author>
    <b:Title>A Review of Social Host Policies Focused on Underage Drinking Parties: Suggestions for Future Research</b:Title>
    <b:Year>2012</b:Year>
    <b:JournalName>Journal of Drug Education</b:JournalName>
    <b:Volume>42</b:Volume>
    <b:Issue>1</b:Issue>
    <b:Pages>99-117</b:Pages>
    <b:RefOrder>3</b:RefOrder>
  </b:Source>
  <b:Source>
    <b:Tag>Sto00</b:Tag>
    <b:SourceType>JournalArticle</b:SourceType>
    <b:Guid>{52E54A3B-736A-1E44-95A3-AB771EB58EC4}</b:Guid>
    <b:Title>Reducing Harmful Alcohol-Related Behaviors: Effective Regulatory Methods</b:Title>
    <b:JournalName>Journal of Studies on Alcohol and Drugs</b:JournalName>
    <b:Year>2000</b:Year>
    <b:Volume>61</b:Volume>
    <b:Issue>3</b:Issue>
    <b:Pages>402</b:Pages>
    <b:Author>
      <b:Author>
        <b:NameList>
          <b:Person>
            <b:Last>Stout</b:Last>
            <b:Middle>M.</b:Middle>
            <b:First>E.</b:First>
          </b:Person>
          <b:Person>
            <b:Last>Sloan</b:Last>
            <b:Middle>A.</b:Middle>
            <b:First>F.</b:First>
          </b:Person>
          <b:Person>
            <b:Last>Liang</b:Last>
            <b:First>L.</b:First>
          </b:Person>
          <b:Person>
            <b:Last>Davies</b:Last>
            <b:Middle>H.</b:Middle>
            <b:First>H.</b:First>
          </b:Person>
        </b:NameList>
      </b:Author>
    </b:Author>
    <b:RefOrder>5</b:RefOrder>
  </b:Source>
  <b:Source>
    <b:Tag>Dil10</b:Tag>
    <b:SourceType>JournalArticle</b:SourceType>
    <b:Guid>{82CD6608-2318-BB41-8FD9-31EDE66209D1}</b:Guid>
    <b:Title>Social Host Liabilty for Minors and Underage Drunk-Driving Accidents</b:Title>
    <b:JournalName>Journal of Health Economics</b:JournalName>
    <b:Year>2010</b:Year>
    <b:Volume>29</b:Volume>
    <b:Issue>2</b:Issue>
    <b:Pages>241-249</b:Pages>
    <b:Author>
      <b:Author>
        <b:NameList>
          <b:Person>
            <b:Last>Dills</b:Last>
            <b:Middle>K.</b:Middle>
            <b:First>A.</b:First>
          </b:Person>
        </b:NameList>
      </b:Author>
    </b:Author>
    <b:RefOrder>7</b:RefOrder>
  </b:Source>
  <b:Source>
    <b:Tag>Wag13</b:Tag>
    <b:SourceType>JournalArticle</b:SourceType>
    <b:Guid>{FBEAF4C4-9E53-CD48-A5D1-D377180848D7}</b:Guid>
    <b:Title>Social Host Policies and Underage Drinking Parties</b:Title>
    <b:JournalName>Substance Abuse and Misuse</b:JournalName>
    <b:Year>2013</b:Year>
    <b:Volume>48</b:Volume>
    <b:Author>
      <b:Author>
        <b:NameList>
          <b:Person>
            <b:Last>Wagoner</b:Last>
            <b:Middle>G.</b:Middle>
            <b:First>K.</b:First>
          </b:Person>
          <b:Person>
            <b:Last>Sparks</b:Last>
            <b:First>M.</b:First>
          </b:Person>
          <b:Person>
            <b:Last>Francisco</b:Last>
            <b:Middle>T.</b:Middle>
            <b:First>V.</b:First>
          </b:Person>
          <b:Person>
            <b:Last>Wyrick</b:Last>
            <b:First>D.</b:First>
          </b:Person>
          <b:Person>
            <b:Last>Nichols</b:Last>
            <b:First>T.</b:First>
          </b:Person>
          <b:Person>
            <b:Last>Wolfson</b:Last>
            <b:First>M.</b:First>
          </b:Person>
        </b:NameList>
      </b:Author>
    </b:Author>
    <b:Issue>1-2</b:Issue>
    <b:Pages>41-53</b:Pages>
    <b:RefOrder>6</b:RefOrder>
  </b:Source>
  <b:Source>
    <b:Tag>Sac06</b:Tag>
    <b:SourceType>JournalArticle</b:SourceType>
    <b:Guid>{382402D5-1FB4-A742-AB66-9C6A5855F12B}</b:Guid>
    <b:Author>
      <b:Author>
        <b:NameList>
          <b:Person>
            <b:Last>Sacks</b:Last>
            <b:First>J.</b:First>
            <b:Middle>J., Roeber, J., Bouchery, E. E., Gonzales, K., Chaloupka, F. J., &amp; Brewer, R. D.</b:Middle>
          </b:Person>
        </b:NameList>
      </b:Author>
    </b:Author>
    <b:Title>State Costs of Excessive Alcohol Consumption</b:Title>
    <b:JournalName>American Journal of Preventative Medicine</b:JournalName>
    <b:Year>2006</b:Year>
    <b:Pages>474-485</b:Pages>
    <b:RefOrder>8</b:RefOrder>
  </b:Source>
  <b:Source>
    <b:Tag>Pow09</b:Tag>
    <b:SourceType>DocumentFromInternetSite</b:SourceType>
    <b:Guid>{3EDE06A5-4438-534B-8FA6-3ACB22E4CDFF}</b:Guid>
    <b:Title>Public Health Theses</b:Title>
    <b:Year>2009</b:Year>
    <b:Month>April</b:Month>
    <b:Day>27</b:Day>
    <b:Author>
      <b:Author>
        <b:NameList>
          <b:Person>
            <b:Last>Powell</b:Last>
            <b:First>Jonathan</b:First>
            <b:Middle>A.</b:Middle>
          </b:Person>
        </b:NameList>
      </b:Author>
    </b:Author>
    <b:InternetSiteTitle>ScholarWorks @ Georgia State University</b:InternetSiteTitle>
    <b:URL>http://scholarworks.gsu.edu/iph_theses/67/</b:URL>
    <b:YearAccessed>2015</b:YearAccessed>
    <b:MonthAccessed>March</b:MonthAccessed>
    <b:DayAccessed>31</b:DayAccessed>
    <b:RefOrder>1</b:RefOrder>
  </b:Source>
  <b:Source>
    <b:Tag>DrJ14</b:Tag>
    <b:SourceType>Report</b:SourceType>
    <b:Guid>{EA63BEC6-F2C0-8D4D-AF02-912642243A55}</b:Guid>
    <b:Title>Statewide Georgia Student Health Survey II</b:Title>
    <b:Year>2014</b:Year>
    <b:Author>
      <b:Author>
        <b:NameList>
          <b:Person>
            <b:Last>Barge</b:Last>
            <b:First>Dr.</b:First>
            <b:Middle>John D.</b:Middle>
          </b:Person>
        </b:NameList>
      </b:Author>
    </b:Author>
    <b:Publisher>Georgia Department of Education</b:Publisher>
    <b:RefOrder>9</b:RefOrder>
  </b:Source>
  <b:Source>
    <b:Tag>Cen14</b:Tag>
    <b:SourceType>Report</b:SourceType>
    <b:Guid>{D8E6FE93-D460-4243-9280-4110BC456226}</b:Guid>
    <b:Title>Excessive Alcohol Use - Georgia</b:Title>
    <b:Publisher>US Department of Health and Human Services</b:Publisher>
    <b:City>Atlanta</b:City>
    <b:Year>2014</b:Year>
    <b:Author>
      <b:Author>
        <b:Corporate>Centers for Disease Control and Prevention</b:Corporate>
      </b:Author>
    </b:Author>
    <b:ThesisType>Prevention Status Report 2013</b:ThesisType>
    <b:RefOrder>10</b:RefOrder>
  </b:Source>
  <b:Source>
    <b:Tag>Pac15</b:Tag>
    <b:SourceType>InternetSite</b:SourceType>
    <b:Guid>{8FC5DBF3-A510-9B43-A6C3-83BC7E3D04CC}</b:Guid>
    <b:Title>Underage Drinking in Georgia: The Facts</b:Title>
    <b:Year>2015</b:Year>
    <b:Month>March</b:Month>
    <b:Day>1</b:Day>
    <b:Author>
      <b:Author>
        <b:Corporate>Pacific Institute for Research and Evaluation</b:Corporate>
      </b:Author>
    </b:Author>
    <b:InternetSiteTitle>Underage Drinking Enforcement Training Center</b:InternetSiteTitle>
    <b:URL>http://www.udetc.org/UnderageDrinkingCosts.asp</b:URL>
    <b:YearAccessed>2015</b:YearAccessed>
    <b:MonthAccessed>April</b:MonthAccessed>
    <b:DayAccessed>1</b:DayAccessed>
    <b:RefOrder>11</b:RefOrder>
  </b:Source>
  <b:Source>
    <b:Tag>Nel13</b:Tag>
    <b:SourceType>JournalArticle</b:SourceType>
    <b:Guid>{A02F787F-BA57-AA46-9B0F-34FD46E543FD}</b:Guid>
    <b:Author>
      <b:Author>
        <b:NameList>
          <b:Person>
            <b:Last>Nelson</b:Last>
            <b:First>T.</b:First>
            <b:Middle>F., Xuan, Z., Babor, T. F., Brewer, R. D., Chaloupka, F. J., Gruenewald, P. J., and Naimi, T. S.</b:Middle>
          </b:Person>
        </b:NameList>
      </b:Author>
    </b:Author>
    <b:Title>Efficacy and the Strength of Evidence of US Alcohol Control Policies</b:Title>
    <b:JournalName>American Journal of Prevenative Medicine</b:JournalName>
    <b:Year>2013</b:Year>
    <b:Pages>19-28</b:Pages>
    <b:RefOrder>12</b:RefOrder>
  </b:Source>
  <b:Source>
    <b:Tag>Fos03</b:Tag>
    <b:SourceType>JournalArticle</b:SourceType>
    <b:Guid>{CB88BFC4-26CE-C348-8EC9-2AE96DF1C2AE}</b:Guid>
    <b:Author>
      <b:Author>
        <b:NameList>
          <b:Person>
            <b:Last>Foster</b:Last>
            <b:First>S.</b:First>
            <b:Middle>E., Vaughan, R. D., Foster, W. H., &amp; Califano Jr., J. A.</b:Middle>
          </b:Person>
        </b:NameList>
      </b:Author>
    </b:Author>
    <b:Title>Alcohol Consumption and Expenditures for Underage Drinking and Adult Excessive Drinking</b:Title>
    <b:JournalName>JAMA</b:JournalName>
    <b:Year>2003</b:Year>
    <b:Volume>289</b:Volume>
    <b:Issue>9</b:Issue>
    <b:Pages>989-995</b:Pages>
    <b:RefOrder>13</b:RefOrder>
  </b:Source>
  <b:Source>
    <b:Tag>Hig14</b:Tag>
    <b:SourceType>JournalArticle</b:SourceType>
    <b:Guid>{03A14ECF-08C8-714B-A6C1-A319D0EF71E2}</b:Guid>
    <b:Author>
      <b:Author>
        <b:NameList>
          <b:Person>
            <b:Last>Higson</b:Last>
            <b:First>R.</b:First>
          </b:Person>
          <b:Person>
            <b:Last>White</b:Last>
            <b:First>A.</b:First>
          </b:Person>
        </b:NameList>
      </b:Author>
    </b:Author>
    <b:Title>New Research Findings Since the 2007 Surgeon General's Call to Action to Prevent and Reduce Underage Drinking: A Review</b:Title>
    <b:JournalName>Journal of Studies on Alcohol and Drugs</b:JournalName>
    <b:Year>2014</b:Year>
    <b:Volume>75</b:Volume>
    <b:Issue>1</b:Issue>
    <b:Pages>158</b:Pages>
    <b:RefOrder>14</b:RefOrder>
  </b:Source>
  <b:Source>
    <b:Tag>Nat14</b:Tag>
    <b:SourceType>InternetSite</b:SourceType>
    <b:Guid>{4AC6D1AA-AF79-E247-A17B-56A9DE1561AD}</b:Guid>
    <b:Title>NCSL</b:Title>
    <b:Year>2014</b:Year>
    <b:Month>March</b:Month>
    <b:Day>27</b:Day>
    <b:InternetSiteTitle>Social Host Liability for Underage Drinking Statutes</b:InternetSiteTitle>
    <b:URL>http://www.ncsl.org/research/financial-services-and-commerce/social-host-liability-for-underage-drinking-statutes.aspx</b:URL>
    <b:YearAccessed>2015</b:YearAccessed>
    <b:MonthAccessed>May</b:MonthAccessed>
    <b:DayAccessed>29</b:DayAccessed>
    <b:Author>
      <b:Author>
        <b:NameList>
          <b:Person>
            <b:Last>Morton</b:Last>
            <b:First>Heather</b:First>
          </b:Person>
        </b:NameList>
      </b:Author>
    </b:Author>
    <b:RefOrder>15</b:RefOrder>
  </b:Source>
  <b:Source>
    <b:Tag>Cob12</b:Tag>
    <b:SourceType>InternetSite</b:SourceType>
    <b:Guid>{5980689E-7BF9-C241-9A91-FA24C99E317C}</b:Guid>
    <b:Author>
      <b:Author>
        <b:Corporate>Cobb Alcohol Task Force</b:Corporate>
      </b:Author>
    </b:Author>
    <b:Title>Social Host Ordinances FAQ Sheet</b:Title>
    <b:InternetSiteTitle>www.cobbat.org</b:InternetSiteTitle>
    <b:URL>http://www.cobbat.org/wp-content/uploads/2012/11/socialhostFAQ1023.10.pdf</b:URL>
    <b:Year>2012</b:Year>
    <b:Month>November</b:Month>
    <b:Day>2</b:Day>
    <b:YearAccessed>2015</b:YearAccessed>
    <b:MonthAccessed>June</b:MonthAccessed>
    <b:DayAccessed>5</b:DayAccessed>
    <b:RefOrder>2</b:RefOrder>
  </b:Source>
  <b:Source>
    <b:Tag>Fel14</b:Tag>
    <b:SourceType>JournalArticle</b:SourceType>
    <b:Guid>{BEA6BBF1-7D43-B943-8819-A3765A8CB901}</b:Guid>
    <b:Title>Effectiveness of Social Host and Fake Identification Laws on Reducing Underage Drinking Driver Fatal Crashes</b:Title>
    <b:Year>2014</b:Year>
    <b:Volume>15</b:Volume>
    <b:Issue>Sup 1</b:Issue>
    <b:Pages>S64-73</b:Pages>
    <b:JournalName>Traffic Injury Prevention</b:JournalName>
    <b:Author>
      <b:Author>
        <b:NameList>
          <b:Person>
            <b:Last>Fell</b:Last>
            <b:Middle>C.</b:Middle>
            <b:First>J.</b:First>
          </b:Person>
          <b:Person>
            <b:Last>Scherer</b:Last>
            <b:First>M.</b:First>
          </b:Person>
          <b:Person>
            <b:Last>Thomas</b:Last>
            <b:First>S.</b:First>
          </b:Person>
          <b:Person>
            <b:Last>Voas</b:Last>
            <b:Middle>B.</b:Middle>
            <b:First>R.</b:First>
          </b:Person>
        </b:NameList>
      </b:Author>
    </b:Author>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3.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4.xml><?xml version="1.0" encoding="utf-8"?>
<ds:datastoreItem xmlns:ds="http://schemas.openxmlformats.org/officeDocument/2006/customXml" ds:itemID="{6840C918-80C0-40C8-9D86-0A61C935B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2E2850-72C4-46E1-8B9E-0B3648AB41EB}">
  <ds:schemaRefs>
    <ds:schemaRef ds:uri="http://schemas.microsoft.com/office/2006/metadata/properties"/>
    <ds:schemaRef ds:uri="http://schemas.microsoft.com/office/infopath/2007/PartnerControls"/>
    <ds:schemaRef ds:uri="4873beb7-5857-4685-be1f-d57550cc96cc"/>
  </ds:schemaRefs>
</ds:datastoreItem>
</file>

<file path=customXml/itemProps6.xml><?xml version="1.0" encoding="utf-8"?>
<ds:datastoreItem xmlns:ds="http://schemas.openxmlformats.org/officeDocument/2006/customXml" ds:itemID="{C1E22FE0-46C3-0E4B-9615-11C678CE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TM01773070</Template>
  <TotalTime>6</TotalTime>
  <Pages>8</Pages>
  <Words>2901</Words>
  <Characters>16540</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Host Ordinances</dc:title>
  <dc:subject>A Literature Review</dc:subject>
  <dc:creator>Krystal Lokkesmoe</dc:creator>
  <cp:lastModifiedBy>Krystal Lokkesmoe</cp:lastModifiedBy>
  <cp:revision>3</cp:revision>
  <dcterms:created xsi:type="dcterms:W3CDTF">2015-06-05T13:09:00Z</dcterms:created>
  <dcterms:modified xsi:type="dcterms:W3CDTF">2015-06-05T13:37:00Z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mageGenResult">
    <vt:lpwstr/>
  </property>
  <property fmtid="{D5CDD505-2E9C-101B-9397-08002B2CF9AE}" pid="4" name="ImageGenerated">
    <vt:bool>false</vt:bool>
  </property>
</Properties>
</file>